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300"/>
      </w:pPr>
    </w:p>
    <w:p>
      <w:pPr>
        <w:pBdr>
          <w:bottom w:val="single" w:color="F1A222" w:sz="18" w:space="6"/>
        </w:pBdr>
        <w:spacing w:after="60"/>
      </w:pPr>
      <w:r>
        <w:rPr>
          <w:rFonts w:ascii="Calibri" w:cs="Calibri" w:eastAsia="Calibri" w:hAnsi="Calibri"/>
          <w:b/>
          <w:bCs/>
          <w:color w:val="620D3C"/>
          <w:sz w:val="52"/>
          <w:szCs w:val="52"/>
        </w:rPr>
        <w:t xml:space="preserve">India Geoportal Catalog</w:t>
      </w:r>
    </w:p>
    <w:p>
      <w:pPr>
        <w:spacing w:after="40" w:before="160"/>
      </w:pPr>
      <w:r>
        <w:rPr>
          <w:rFonts w:ascii="Calibri" w:cs="Calibri" w:eastAsia="Calibri" w:hAnsi="Calibri"/>
          <w:color w:val="2B3736"/>
          <w:sz w:val="34"/>
          <w:szCs w:val="34"/>
        </w:rPr>
        <w:t xml:space="preserve">Category &amp; Classification Reference</w:t>
      </w:r>
    </w:p>
    <w:p>
      <w:pPr>
        <w:spacing w:after="360" w:before="60"/>
      </w:pPr>
      <w:r>
        <w:rPr>
          <w:rFonts w:ascii="Calibri" w:cs="Calibri" w:eastAsia="Calibri" w:hAnsi="Calibri"/>
          <w:i/>
          <w:iCs/>
          <w:color w:val="5E5349"/>
          <w:sz w:val="22"/>
          <w:szCs w:val="22"/>
        </w:rPr>
        <w:t xml:space="preserve">How every record is classified, scored and verified</w:t>
      </w:r>
    </w:p>
    <w:p>
      <w:pPr>
        <w:spacing w:after="280" w:before="0" w:line="276"/>
      </w:pPr>
      <w:r>
        <w:rPr>
          <w:rFonts w:ascii="Calibri" w:cs="Calibri" w:eastAsia="Calibri" w:hAnsi="Calibri"/>
          <w:color w:val="2B3736"/>
          <w:sz w:val="21"/>
          <w:szCs w:val="21"/>
        </w:rPr>
        <w:t xml:space="preserve">A companion reference to the India Geoportal Catalog dashboard. It is compiled directly from the dashboard’s own embedded category definitions, classification rules and data (584 catalogued records at the time of writing), and contains nothing beyond what the dashboard itself defines and holds.</w:t>
      </w:r>
    </w:p>
    <w:tbl>
      <w:tblPr>
        <w:tblW w:type="dxa" w:w="9360"/>
        <w:tblBorders>
          <w:top w:val="none"/>
          <w:left w:val="none"/>
          <w:bottom w:val="none"/>
          <w:right w:val="none"/>
          <w:insideH w:val="single" w:color="CFC4BC" w:sz="2"/>
          <w:insideV w:val="none"/>
        </w:tblBorders>
      </w:tblPr>
      <w:tblGrid>
        <w:gridCol w:w="2300"/>
        <w:gridCol w:w="7060"/>
      </w:tblGrid>
      <w:tr>
        <w:tc>
          <w:tcPr>
            <w:tcW w:type="dxa" w:w="2300"/>
            <w:tcMar>
              <w:top w:type="dxa" w:w="52"/>
              <w:left w:type="dxa" w:w="0"/>
              <w:bottom w:type="dxa" w:w="52"/>
              <w:right w:type="dxa" w:w="120"/>
            </w:tcMar>
          </w:tcPr>
          <w:p>
            <w:r>
              <w:rPr>
                <w:rFonts w:ascii="Calibri" w:cs="Calibri" w:eastAsia="Calibri" w:hAnsi="Calibri"/>
                <w:b/>
                <w:bCs/>
                <w:color w:val="620D3C"/>
                <w:sz w:val="19"/>
                <w:szCs w:val="19"/>
              </w:rPr>
              <w:t xml:space="preserve">Produced for</w:t>
            </w:r>
          </w:p>
        </w:tc>
        <w:tc>
          <w:tcPr>
            <w:tcW w:type="dxa" w:w="7060"/>
            <w:tcMar>
              <w:top w:type="dxa" w:w="52"/>
              <w:left w:type="dxa" w:w="0"/>
              <w:bottom w:type="dxa" w:w="52"/>
              <w:right w:type="dxa" w:w="120"/>
            </w:tcMar>
          </w:tcPr>
          <w:p>
            <w:r>
              <w:rPr>
                <w:rFonts w:ascii="Calibri" w:cs="Calibri" w:eastAsia="Calibri" w:hAnsi="Calibri"/>
                <w:b w:val="false"/>
                <w:bCs w:val="false"/>
                <w:color w:val="2B3736"/>
                <w:sz w:val="19"/>
                <w:szCs w:val="19"/>
              </w:rPr>
              <w:t xml:space="preserve">Takshashila Institution — Geospatial Programme</w:t>
            </w:r>
          </w:p>
        </w:tc>
      </w:tr>
      <w:tr>
        <w:tc>
          <w:tcPr>
            <w:tcW w:type="dxa" w:w="2300"/>
            <w:tcMar>
              <w:top w:type="dxa" w:w="52"/>
              <w:left w:type="dxa" w:w="0"/>
              <w:bottom w:type="dxa" w:w="52"/>
              <w:right w:type="dxa" w:w="120"/>
            </w:tcMar>
          </w:tcPr>
          <w:p>
            <w:r>
              <w:rPr>
                <w:rFonts w:ascii="Calibri" w:cs="Calibri" w:eastAsia="Calibri" w:hAnsi="Calibri"/>
                <w:b/>
                <w:bCs/>
                <w:color w:val="620D3C"/>
                <w:sz w:val="19"/>
                <w:szCs w:val="19"/>
              </w:rPr>
              <w:t xml:space="preserve">Applies to</w:t>
            </w:r>
          </w:p>
        </w:tc>
        <w:tc>
          <w:tcPr>
            <w:tcW w:type="dxa" w:w="7060"/>
            <w:tcMar>
              <w:top w:type="dxa" w:w="52"/>
              <w:left w:type="dxa" w:w="0"/>
              <w:bottom w:type="dxa" w:w="52"/>
              <w:right w:type="dxa" w:w="120"/>
            </w:tcMar>
          </w:tcPr>
          <w:p>
            <w:r>
              <w:rPr>
                <w:rFonts w:ascii="Calibri" w:cs="Calibri" w:eastAsia="Calibri" w:hAnsi="Calibri"/>
                <w:b w:val="false"/>
                <w:bCs w:val="false"/>
                <w:color w:val="2B3736"/>
                <w:sz w:val="19"/>
                <w:szCs w:val="19"/>
              </w:rPr>
              <w:t xml:space="preserve">India Geoportal Catalog (single-file HTML dashboard)</w:t>
            </w:r>
          </w:p>
        </w:tc>
      </w:tr>
      <w:tr>
        <w:tc>
          <w:tcPr>
            <w:tcW w:type="dxa" w:w="2300"/>
            <w:tcMar>
              <w:top w:type="dxa" w:w="52"/>
              <w:left w:type="dxa" w:w="0"/>
              <w:bottom w:type="dxa" w:w="52"/>
              <w:right w:type="dxa" w:w="120"/>
            </w:tcMar>
          </w:tcPr>
          <w:p>
            <w:r>
              <w:rPr>
                <w:rFonts w:ascii="Calibri" w:cs="Calibri" w:eastAsia="Calibri" w:hAnsi="Calibri"/>
                <w:b/>
                <w:bCs/>
                <w:color w:val="620D3C"/>
                <w:sz w:val="19"/>
                <w:szCs w:val="19"/>
              </w:rPr>
              <w:t xml:space="preserve">Catalogue size</w:t>
            </w:r>
          </w:p>
        </w:tc>
        <w:tc>
          <w:tcPr>
            <w:tcW w:type="dxa" w:w="7060"/>
            <w:tcMar>
              <w:top w:type="dxa" w:w="52"/>
              <w:left w:type="dxa" w:w="0"/>
              <w:bottom w:type="dxa" w:w="52"/>
              <w:right w:type="dxa" w:w="120"/>
            </w:tcMar>
          </w:tcPr>
          <w:p>
            <w:r>
              <w:rPr>
                <w:rFonts w:ascii="Calibri" w:cs="Calibri" w:eastAsia="Calibri" w:hAnsi="Calibri"/>
                <w:b w:val="false"/>
                <w:bCs w:val="false"/>
                <w:color w:val="2B3736"/>
                <w:sz w:val="19"/>
                <w:szCs w:val="19"/>
              </w:rPr>
              <w:t xml:space="preserve">584 dataset records · 417 portals · 36 states &amp; UTs</w:t>
            </w:r>
          </w:p>
        </w:tc>
      </w:tr>
      <w:tr>
        <w:tc>
          <w:tcPr>
            <w:tcW w:type="dxa" w:w="2300"/>
            <w:tcMar>
              <w:top w:type="dxa" w:w="52"/>
              <w:left w:type="dxa" w:w="0"/>
              <w:bottom w:type="dxa" w:w="52"/>
              <w:right w:type="dxa" w:w="120"/>
            </w:tcMar>
          </w:tcPr>
          <w:p>
            <w:r>
              <w:rPr>
                <w:rFonts w:ascii="Calibri" w:cs="Calibri" w:eastAsia="Calibri" w:hAnsi="Calibri"/>
                <w:b/>
                <w:bCs/>
                <w:color w:val="620D3C"/>
                <w:sz w:val="19"/>
                <w:szCs w:val="19"/>
              </w:rPr>
              <w:t xml:space="preserve">Scoring basis</w:t>
            </w:r>
          </w:p>
        </w:tc>
        <w:tc>
          <w:tcPr>
            <w:tcW w:type="dxa" w:w="7060"/>
            <w:tcMar>
              <w:top w:type="dxa" w:w="52"/>
              <w:left w:type="dxa" w:w="0"/>
              <w:bottom w:type="dxa" w:w="52"/>
              <w:right w:type="dxa" w:w="120"/>
            </w:tcMar>
          </w:tcPr>
          <w:p>
            <w:r>
              <w:rPr>
                <w:rFonts w:ascii="Calibri" w:cs="Calibri" w:eastAsia="Calibri" w:hAnsi="Calibri"/>
                <w:b w:val="false"/>
                <w:bCs w:val="false"/>
                <w:color w:val="2B3736"/>
                <w:sz w:val="19"/>
                <w:szCs w:val="19"/>
              </w:rPr>
              <w:t xml:space="preserve">Takshashila report “State of India’s Geospatial Portal (2025-26)”</w:t>
            </w:r>
          </w:p>
        </w:tc>
      </w:tr>
      <w:tr>
        <w:tc>
          <w:tcPr>
            <w:tcW w:type="dxa" w:w="2300"/>
            <w:tcMar>
              <w:top w:type="dxa" w:w="52"/>
              <w:left w:type="dxa" w:w="0"/>
              <w:bottom w:type="dxa" w:w="52"/>
              <w:right w:type="dxa" w:w="120"/>
            </w:tcMar>
          </w:tcPr>
          <w:p>
            <w:r>
              <w:rPr>
                <w:rFonts w:ascii="Calibri" w:cs="Calibri" w:eastAsia="Calibri" w:hAnsi="Calibri"/>
                <w:b/>
                <w:bCs/>
                <w:color w:val="620D3C"/>
                <w:sz w:val="19"/>
                <w:szCs w:val="19"/>
              </w:rPr>
              <w:t xml:space="preserve">Nature of this file</w:t>
            </w:r>
          </w:p>
        </w:tc>
        <w:tc>
          <w:tcPr>
            <w:tcW w:type="dxa" w:w="7060"/>
            <w:tcMar>
              <w:top w:type="dxa" w:w="52"/>
              <w:left w:type="dxa" w:w="0"/>
              <w:bottom w:type="dxa" w:w="52"/>
              <w:right w:type="dxa" w:w="120"/>
            </w:tcMar>
          </w:tcPr>
          <w:p>
            <w:r>
              <w:rPr>
                <w:rFonts w:ascii="Calibri" w:cs="Calibri" w:eastAsia="Calibri" w:hAnsi="Calibri"/>
                <w:b w:val="false"/>
                <w:bCs w:val="false"/>
                <w:color w:val="2B3736"/>
                <w:sz w:val="19"/>
                <w:szCs w:val="19"/>
              </w:rPr>
              <w:t xml:space="preserve">Reconstructed from the dashboard’s own definitions — not an external source</w:t>
            </w:r>
          </w:p>
        </w:tc>
      </w:tr>
    </w:tbl>
    <w:p>
      <w:r>
        <w:br w:type="page"/>
      </w:r>
    </w:p>
    <w:p>
      <w:pPr>
        <w:pStyle w:val="Heading1"/>
        <w:spacing w:after="140" w:before="320"/>
      </w:pPr>
      <w:r>
        <w:rPr>
          <w:rFonts w:ascii="Calibri" w:cs="Calibri" w:eastAsia="Calibri" w:hAnsi="Calibri"/>
          <w:b/>
          <w:bCs/>
          <w:color w:val="620D3C"/>
          <w:sz w:val="30"/>
          <w:szCs w:val="30"/>
        </w:rPr>
        <w:t xml:space="preserve">Contents</w:t>
      </w:r>
    </w:p>
    <w:p>
      <w:pPr>
        <w:tabs>
          <w:tab w:val="right" w:pos="9360" w:leader="dot"/>
        </w:tabs>
        <w:spacing w:after="64"/>
      </w:pPr>
      <w:r>
        <w:rPr>
          <w:rFonts w:ascii="Calibri" w:cs="Calibri" w:eastAsia="Calibri" w:hAnsi="Calibri"/>
          <w:b/>
          <w:bCs/>
          <w:color w:val="620D3C"/>
          <w:sz w:val="22"/>
          <w:szCs w:val="22"/>
        </w:rPr>
        <w:t xml:space="preserve">1. About this reference</w:t>
      </w:r>
      <w:r>
        <w:rPr>
          <w:rFonts w:ascii="Calibri" w:cs="Calibri" w:eastAsia="Calibri" w:hAnsi="Calibri"/>
          <w:color w:val="2B3736"/>
          <w:sz w:val="22"/>
          <w:szCs w:val="22"/>
        </w:rPr>
        <w:t xml:space="preserve">	3</w:t>
      </w:r>
    </w:p>
    <w:p>
      <w:pPr>
        <w:tabs>
          <w:tab w:val="right" w:pos="9360" w:leader="dot"/>
        </w:tabs>
        <w:spacing w:after="64"/>
      </w:pPr>
      <w:r>
        <w:rPr>
          <w:rFonts w:ascii="Calibri" w:cs="Calibri" w:eastAsia="Calibri" w:hAnsi="Calibri"/>
          <w:b/>
          <w:bCs/>
          <w:color w:val="620D3C"/>
          <w:sz w:val="22"/>
          <w:szCs w:val="22"/>
        </w:rPr>
        <w:t xml:space="preserve">2. What this catalog is — and is not</w:t>
      </w:r>
      <w:r>
        <w:rPr>
          <w:rFonts w:ascii="Calibri" w:cs="Calibri" w:eastAsia="Calibri" w:hAnsi="Calibri"/>
          <w:color w:val="2B3736"/>
          <w:sz w:val="22"/>
          <w:szCs w:val="22"/>
        </w:rPr>
        <w:t xml:space="preserve">	3</w:t>
      </w:r>
    </w:p>
    <w:p>
      <w:pPr>
        <w:tabs>
          <w:tab w:val="right" w:pos="9360" w:leader="dot"/>
        </w:tabs>
        <w:spacing w:after="64"/>
      </w:pPr>
      <w:r>
        <w:rPr>
          <w:rFonts w:ascii="Calibri" w:cs="Calibri" w:eastAsia="Calibri" w:hAnsi="Calibri"/>
          <w:b/>
          <w:bCs/>
          <w:color w:val="620D3C"/>
          <w:sz w:val="22"/>
          <w:szCs w:val="22"/>
        </w:rPr>
        <w:t xml:space="preserve">3. Record classification dimensions</w:t>
      </w:r>
      <w:r>
        <w:rPr>
          <w:rFonts w:ascii="Calibri" w:cs="Calibri" w:eastAsia="Calibri" w:hAnsi="Calibri"/>
          <w:color w:val="2B3736"/>
          <w:sz w:val="22"/>
          <w:szCs w:val="22"/>
        </w:rPr>
        <w:t xml:space="preserve">	3</w:t>
      </w:r>
    </w:p>
    <w:p>
      <w:pPr>
        <w:tabs>
          <w:tab w:val="right" w:pos="9360" w:leader="dot"/>
        </w:tabs>
        <w:spacing w:after="36"/>
        <w:ind w:left="360"/>
      </w:pPr>
      <w:r>
        <w:rPr>
          <w:rFonts w:ascii="Calibri" w:cs="Calibri" w:eastAsia="Calibri" w:hAnsi="Calibri"/>
          <w:b w:val="false"/>
          <w:bCs w:val="false"/>
          <w:color w:val="2B3736"/>
          <w:sz w:val="20"/>
          <w:szCs w:val="20"/>
        </w:rPr>
        <w:t xml:space="preserve">3.1 Provider Type (Sector)</w:t>
      </w:r>
      <w:r>
        <w:rPr>
          <w:rFonts w:ascii="Calibri" w:cs="Calibri" w:eastAsia="Calibri" w:hAnsi="Calibri"/>
          <w:color w:val="5E5349"/>
          <w:sz w:val="20"/>
          <w:szCs w:val="20"/>
        </w:rPr>
        <w:t xml:space="preserve">	3</w:t>
      </w:r>
    </w:p>
    <w:p>
      <w:pPr>
        <w:tabs>
          <w:tab w:val="right" w:pos="9360" w:leader="dot"/>
        </w:tabs>
        <w:spacing w:after="36"/>
        <w:ind w:left="360"/>
      </w:pPr>
      <w:r>
        <w:rPr>
          <w:rFonts w:ascii="Calibri" w:cs="Calibri" w:eastAsia="Calibri" w:hAnsi="Calibri"/>
          <w:b w:val="false"/>
          <w:bCs w:val="false"/>
          <w:color w:val="2B3736"/>
          <w:sz w:val="20"/>
          <w:szCs w:val="20"/>
        </w:rPr>
        <w:t xml:space="preserve">3.2 Scope (India vs Global)</w:t>
      </w:r>
      <w:r>
        <w:rPr>
          <w:rFonts w:ascii="Calibri" w:cs="Calibri" w:eastAsia="Calibri" w:hAnsi="Calibri"/>
          <w:color w:val="5E5349"/>
          <w:sz w:val="20"/>
          <w:szCs w:val="20"/>
        </w:rPr>
        <w:t xml:space="preserve">	4</w:t>
      </w:r>
    </w:p>
    <w:p>
      <w:pPr>
        <w:tabs>
          <w:tab w:val="right" w:pos="9360" w:leader="dot"/>
        </w:tabs>
        <w:spacing w:after="36"/>
        <w:ind w:left="360"/>
      </w:pPr>
      <w:r>
        <w:rPr>
          <w:rFonts w:ascii="Calibri" w:cs="Calibri" w:eastAsia="Calibri" w:hAnsi="Calibri"/>
          <w:b w:val="false"/>
          <w:bCs w:val="false"/>
          <w:color w:val="2B3736"/>
          <w:sz w:val="20"/>
          <w:szCs w:val="20"/>
        </w:rPr>
        <w:t xml:space="preserve">3.3 Coverage Tier</w:t>
      </w:r>
      <w:r>
        <w:rPr>
          <w:rFonts w:ascii="Calibri" w:cs="Calibri" w:eastAsia="Calibri" w:hAnsi="Calibri"/>
          <w:color w:val="5E5349"/>
          <w:sz w:val="20"/>
          <w:szCs w:val="20"/>
        </w:rPr>
        <w:t xml:space="preserve">	4</w:t>
      </w:r>
    </w:p>
    <w:p>
      <w:pPr>
        <w:tabs>
          <w:tab w:val="right" w:pos="9360" w:leader="dot"/>
        </w:tabs>
        <w:spacing w:after="36"/>
        <w:ind w:left="360"/>
      </w:pPr>
      <w:r>
        <w:rPr>
          <w:rFonts w:ascii="Calibri" w:cs="Calibri" w:eastAsia="Calibri" w:hAnsi="Calibri"/>
          <w:b w:val="false"/>
          <w:bCs w:val="false"/>
          <w:color w:val="2B3736"/>
          <w:sz w:val="20"/>
          <w:szCs w:val="20"/>
        </w:rPr>
        <w:t xml:space="preserve">3.4 Theme and Theme Group</w:t>
      </w:r>
      <w:r>
        <w:rPr>
          <w:rFonts w:ascii="Calibri" w:cs="Calibri" w:eastAsia="Calibri" w:hAnsi="Calibri"/>
          <w:color w:val="5E5349"/>
          <w:sz w:val="20"/>
          <w:szCs w:val="20"/>
        </w:rPr>
        <w:t xml:space="preserve">	4</w:t>
      </w:r>
    </w:p>
    <w:p>
      <w:pPr>
        <w:tabs>
          <w:tab w:val="right" w:pos="9360" w:leader="dot"/>
        </w:tabs>
        <w:spacing w:after="36"/>
        <w:ind w:left="360"/>
      </w:pPr>
      <w:r>
        <w:rPr>
          <w:rFonts w:ascii="Calibri" w:cs="Calibri" w:eastAsia="Calibri" w:hAnsi="Calibri"/>
          <w:b w:val="false"/>
          <w:bCs w:val="false"/>
          <w:color w:val="2B3736"/>
          <w:sz w:val="20"/>
          <w:szCs w:val="20"/>
        </w:rPr>
        <w:t xml:space="preserve">3.5 Data Type</w:t>
      </w:r>
      <w:r>
        <w:rPr>
          <w:rFonts w:ascii="Calibri" w:cs="Calibri" w:eastAsia="Calibri" w:hAnsi="Calibri"/>
          <w:color w:val="5E5349"/>
          <w:sz w:val="20"/>
          <w:szCs w:val="20"/>
        </w:rPr>
        <w:t xml:space="preserve">	5</w:t>
      </w:r>
    </w:p>
    <w:p>
      <w:pPr>
        <w:tabs>
          <w:tab w:val="right" w:pos="9360" w:leader="dot"/>
        </w:tabs>
        <w:spacing w:after="36"/>
        <w:ind w:left="360"/>
      </w:pPr>
      <w:r>
        <w:rPr>
          <w:rFonts w:ascii="Calibri" w:cs="Calibri" w:eastAsia="Calibri" w:hAnsi="Calibri"/>
          <w:b w:val="false"/>
          <w:bCs w:val="false"/>
          <w:color w:val="2B3736"/>
          <w:sz w:val="20"/>
          <w:szCs w:val="20"/>
        </w:rPr>
        <w:t xml:space="preserve">3.6 Access Tier</w:t>
      </w:r>
      <w:r>
        <w:rPr>
          <w:rFonts w:ascii="Calibri" w:cs="Calibri" w:eastAsia="Calibri" w:hAnsi="Calibri"/>
          <w:color w:val="5E5349"/>
          <w:sz w:val="20"/>
          <w:szCs w:val="20"/>
        </w:rPr>
        <w:t xml:space="preserve">	5</w:t>
      </w:r>
    </w:p>
    <w:p>
      <w:pPr>
        <w:tabs>
          <w:tab w:val="right" w:pos="9360" w:leader="dot"/>
        </w:tabs>
        <w:spacing w:after="36"/>
        <w:ind w:left="360"/>
      </w:pPr>
      <w:r>
        <w:rPr>
          <w:rFonts w:ascii="Calibri" w:cs="Calibri" w:eastAsia="Calibri" w:hAnsi="Calibri"/>
          <w:b w:val="false"/>
          <w:bCs w:val="false"/>
          <w:color w:val="2B3736"/>
          <w:sz w:val="20"/>
          <w:szCs w:val="20"/>
        </w:rPr>
        <w:t xml:space="preserve">3.7 Licence Category</w:t>
      </w:r>
      <w:r>
        <w:rPr>
          <w:rFonts w:ascii="Calibri" w:cs="Calibri" w:eastAsia="Calibri" w:hAnsi="Calibri"/>
          <w:color w:val="5E5349"/>
          <w:sz w:val="20"/>
          <w:szCs w:val="20"/>
        </w:rPr>
        <w:t xml:space="preserve">	5</w:t>
      </w:r>
    </w:p>
    <w:p>
      <w:pPr>
        <w:tabs>
          <w:tab w:val="right" w:pos="9360" w:leader="dot"/>
        </w:tabs>
        <w:spacing w:after="36"/>
        <w:ind w:left="360"/>
      </w:pPr>
      <w:r>
        <w:rPr>
          <w:rFonts w:ascii="Calibri" w:cs="Calibri" w:eastAsia="Calibri" w:hAnsi="Calibri"/>
          <w:b w:val="false"/>
          <w:bCs w:val="false"/>
          <w:color w:val="2B3736"/>
          <w:sz w:val="20"/>
          <w:szCs w:val="20"/>
        </w:rPr>
        <w:t xml:space="preserve">3.8 Timeframe / Recency</w:t>
      </w:r>
      <w:r>
        <w:rPr>
          <w:rFonts w:ascii="Calibri" w:cs="Calibri" w:eastAsia="Calibri" w:hAnsi="Calibri"/>
          <w:color w:val="5E5349"/>
          <w:sz w:val="20"/>
          <w:szCs w:val="20"/>
        </w:rPr>
        <w:t xml:space="preserve">	6</w:t>
      </w:r>
    </w:p>
    <w:p>
      <w:pPr>
        <w:tabs>
          <w:tab w:val="right" w:pos="9360" w:leader="dot"/>
        </w:tabs>
        <w:spacing w:after="64"/>
      </w:pPr>
      <w:r>
        <w:rPr>
          <w:rFonts w:ascii="Calibri" w:cs="Calibri" w:eastAsia="Calibri" w:hAnsi="Calibri"/>
          <w:b/>
          <w:bCs/>
          <w:color w:val="620D3C"/>
          <w:sz w:val="22"/>
          <w:szCs w:val="22"/>
        </w:rPr>
        <w:t xml:space="preserve">4. Confidence &amp; link-verification model</w:t>
      </w:r>
      <w:r>
        <w:rPr>
          <w:rFonts w:ascii="Calibri" w:cs="Calibri" w:eastAsia="Calibri" w:hAnsi="Calibri"/>
          <w:color w:val="2B3736"/>
          <w:sz w:val="22"/>
          <w:szCs w:val="22"/>
        </w:rPr>
        <w:t xml:space="preserve">	6</w:t>
      </w:r>
    </w:p>
    <w:p>
      <w:pPr>
        <w:tabs>
          <w:tab w:val="right" w:pos="9360" w:leader="dot"/>
        </w:tabs>
        <w:spacing w:after="36"/>
        <w:ind w:left="360"/>
      </w:pPr>
      <w:r>
        <w:rPr>
          <w:rFonts w:ascii="Calibri" w:cs="Calibri" w:eastAsia="Calibri" w:hAnsi="Calibri"/>
          <w:b w:val="false"/>
          <w:bCs w:val="false"/>
          <w:color w:val="2B3736"/>
          <w:sz w:val="20"/>
          <w:szCs w:val="20"/>
        </w:rPr>
        <w:t xml:space="preserve">4.1 The two confidence labels</w:t>
      </w:r>
      <w:r>
        <w:rPr>
          <w:rFonts w:ascii="Calibri" w:cs="Calibri" w:eastAsia="Calibri" w:hAnsi="Calibri"/>
          <w:color w:val="5E5349"/>
          <w:sz w:val="20"/>
          <w:szCs w:val="20"/>
        </w:rPr>
        <w:t xml:space="preserve">	6</w:t>
      </w:r>
    </w:p>
    <w:p>
      <w:pPr>
        <w:tabs>
          <w:tab w:val="right" w:pos="9360" w:leader="dot"/>
        </w:tabs>
        <w:spacing w:after="36"/>
        <w:ind w:left="360"/>
      </w:pPr>
      <w:r>
        <w:rPr>
          <w:rFonts w:ascii="Calibri" w:cs="Calibri" w:eastAsia="Calibri" w:hAnsi="Calibri"/>
          <w:b w:val="false"/>
          <w:bCs w:val="false"/>
          <w:color w:val="2B3736"/>
          <w:sz w:val="20"/>
          <w:szCs w:val="20"/>
        </w:rPr>
        <w:t xml:space="preserve">4.2 How confidence is derived</w:t>
      </w:r>
      <w:r>
        <w:rPr>
          <w:rFonts w:ascii="Calibri" w:cs="Calibri" w:eastAsia="Calibri" w:hAnsi="Calibri"/>
          <w:color w:val="5E5349"/>
          <w:sz w:val="20"/>
          <w:szCs w:val="20"/>
        </w:rPr>
        <w:t xml:space="preserve">	6</w:t>
      </w:r>
    </w:p>
    <w:p>
      <w:pPr>
        <w:tabs>
          <w:tab w:val="right" w:pos="9360" w:leader="dot"/>
        </w:tabs>
        <w:spacing w:after="36"/>
        <w:ind w:left="360"/>
      </w:pPr>
      <w:r>
        <w:rPr>
          <w:rFonts w:ascii="Calibri" w:cs="Calibri" w:eastAsia="Calibri" w:hAnsi="Calibri"/>
          <w:b w:val="false"/>
          <w:bCs w:val="false"/>
          <w:color w:val="2B3736"/>
          <w:sz w:val="20"/>
          <w:szCs w:val="20"/>
        </w:rPr>
        <w:t xml:space="preserve">4.3 Link-verification states</w:t>
      </w:r>
      <w:r>
        <w:rPr>
          <w:rFonts w:ascii="Calibri" w:cs="Calibri" w:eastAsia="Calibri" w:hAnsi="Calibri"/>
          <w:color w:val="5E5349"/>
          <w:sz w:val="20"/>
          <w:szCs w:val="20"/>
        </w:rPr>
        <w:t xml:space="preserve">	7</w:t>
      </w:r>
    </w:p>
    <w:p>
      <w:pPr>
        <w:tabs>
          <w:tab w:val="right" w:pos="9360" w:leader="dot"/>
        </w:tabs>
        <w:spacing w:after="36"/>
        <w:ind w:left="360"/>
      </w:pPr>
      <w:r>
        <w:rPr>
          <w:rFonts w:ascii="Calibri" w:cs="Calibri" w:eastAsia="Calibri" w:hAnsi="Calibri"/>
          <w:b w:val="false"/>
          <w:bCs w:val="false"/>
          <w:color w:val="2B3736"/>
          <w:sz w:val="20"/>
          <w:szCs w:val="20"/>
        </w:rPr>
        <w:t xml:space="preserve">4.4 What “Verified” never means</w:t>
      </w:r>
      <w:r>
        <w:rPr>
          <w:rFonts w:ascii="Calibri" w:cs="Calibri" w:eastAsia="Calibri" w:hAnsi="Calibri"/>
          <w:color w:val="5E5349"/>
          <w:sz w:val="20"/>
          <w:szCs w:val="20"/>
        </w:rPr>
        <w:t xml:space="preserve">	7</w:t>
      </w:r>
    </w:p>
    <w:p>
      <w:pPr>
        <w:tabs>
          <w:tab w:val="right" w:pos="9360" w:leader="dot"/>
        </w:tabs>
        <w:spacing w:after="36"/>
        <w:ind w:left="360"/>
      </w:pPr>
      <w:r>
        <w:rPr>
          <w:rFonts w:ascii="Calibri" w:cs="Calibri" w:eastAsia="Calibri" w:hAnsi="Calibri"/>
          <w:b w:val="false"/>
          <w:bCs w:val="false"/>
          <w:color w:val="2B3736"/>
          <w:sz w:val="20"/>
          <w:szCs w:val="20"/>
        </w:rPr>
        <w:t xml:space="preserve">4.5 Dates are kept distinct</w:t>
      </w:r>
      <w:r>
        <w:rPr>
          <w:rFonts w:ascii="Calibri" w:cs="Calibri" w:eastAsia="Calibri" w:hAnsi="Calibri"/>
          <w:color w:val="5E5349"/>
          <w:sz w:val="20"/>
          <w:szCs w:val="20"/>
        </w:rPr>
        <w:t xml:space="preserve">	7</w:t>
      </w:r>
    </w:p>
    <w:p>
      <w:pPr>
        <w:tabs>
          <w:tab w:val="right" w:pos="9360" w:leader="dot"/>
        </w:tabs>
        <w:spacing w:after="36"/>
        <w:ind w:left="360"/>
      </w:pPr>
      <w:r>
        <w:rPr>
          <w:rFonts w:ascii="Calibri" w:cs="Calibri" w:eastAsia="Calibri" w:hAnsi="Calibri"/>
          <w:b w:val="false"/>
          <w:bCs w:val="false"/>
          <w:color w:val="2B3736"/>
          <w:sz w:val="20"/>
          <w:szCs w:val="20"/>
        </w:rPr>
        <w:t xml:space="preserve">4.6 Provisional / inventory records</w:t>
      </w:r>
      <w:r>
        <w:rPr>
          <w:rFonts w:ascii="Calibri" w:cs="Calibri" w:eastAsia="Calibri" w:hAnsi="Calibri"/>
          <w:color w:val="5E5349"/>
          <w:sz w:val="20"/>
          <w:szCs w:val="20"/>
        </w:rPr>
        <w:t xml:space="preserve">	7</w:t>
      </w:r>
    </w:p>
    <w:p>
      <w:pPr>
        <w:tabs>
          <w:tab w:val="right" w:pos="9360" w:leader="dot"/>
        </w:tabs>
        <w:spacing w:after="64"/>
      </w:pPr>
      <w:r>
        <w:rPr>
          <w:rFonts w:ascii="Calibri" w:cs="Calibri" w:eastAsia="Calibri" w:hAnsi="Calibri"/>
          <w:b/>
          <w:bCs/>
          <w:color w:val="620D3C"/>
          <w:sz w:val="22"/>
          <w:szCs w:val="22"/>
        </w:rPr>
        <w:t xml:space="preserve">5. Geoportal Assessment methodology</w:t>
      </w:r>
      <w:r>
        <w:rPr>
          <w:rFonts w:ascii="Calibri" w:cs="Calibri" w:eastAsia="Calibri" w:hAnsi="Calibri"/>
          <w:color w:val="2B3736"/>
          <w:sz w:val="22"/>
          <w:szCs w:val="22"/>
        </w:rPr>
        <w:t xml:space="preserve">	7</w:t>
      </w:r>
    </w:p>
    <w:p>
      <w:pPr>
        <w:tabs>
          <w:tab w:val="right" w:pos="9360" w:leader="dot"/>
        </w:tabs>
        <w:spacing w:after="36"/>
        <w:ind w:left="360"/>
      </w:pPr>
      <w:r>
        <w:rPr>
          <w:rFonts w:ascii="Calibri" w:cs="Calibri" w:eastAsia="Calibri" w:hAnsi="Calibri"/>
          <w:b w:val="false"/>
          <w:bCs w:val="false"/>
          <w:color w:val="2B3736"/>
          <w:sz w:val="20"/>
          <w:szCs w:val="20"/>
        </w:rPr>
        <w:t xml:space="preserve">5.1 Parameters and weights</w:t>
      </w:r>
      <w:r>
        <w:rPr>
          <w:rFonts w:ascii="Calibri" w:cs="Calibri" w:eastAsia="Calibri" w:hAnsi="Calibri"/>
          <w:color w:val="5E5349"/>
          <w:sz w:val="20"/>
          <w:szCs w:val="20"/>
        </w:rPr>
        <w:t xml:space="preserve">	8</w:t>
      </w:r>
    </w:p>
    <w:p>
      <w:pPr>
        <w:tabs>
          <w:tab w:val="right" w:pos="9360" w:leader="dot"/>
        </w:tabs>
        <w:spacing w:after="36"/>
        <w:ind w:left="360"/>
      </w:pPr>
      <w:r>
        <w:rPr>
          <w:rFonts w:ascii="Calibri" w:cs="Calibri" w:eastAsia="Calibri" w:hAnsi="Calibri"/>
          <w:b w:val="false"/>
          <w:bCs w:val="false"/>
          <w:color w:val="2B3736"/>
          <w:sz w:val="20"/>
          <w:szCs w:val="20"/>
        </w:rPr>
        <w:t xml:space="preserve">5.2 How missing data is handled</w:t>
      </w:r>
      <w:r>
        <w:rPr>
          <w:rFonts w:ascii="Calibri" w:cs="Calibri" w:eastAsia="Calibri" w:hAnsi="Calibri"/>
          <w:color w:val="5E5349"/>
          <w:sz w:val="20"/>
          <w:szCs w:val="20"/>
        </w:rPr>
        <w:t xml:space="preserve">	8</w:t>
      </w:r>
    </w:p>
    <w:p>
      <w:pPr>
        <w:tabs>
          <w:tab w:val="right" w:pos="9360" w:leader="dot"/>
        </w:tabs>
        <w:spacing w:after="64"/>
      </w:pPr>
      <w:r>
        <w:rPr>
          <w:rFonts w:ascii="Calibri" w:cs="Calibri" w:eastAsia="Calibri" w:hAnsi="Calibri"/>
          <w:b/>
          <w:bCs/>
          <w:color w:val="620D3C"/>
          <w:sz w:val="22"/>
          <w:szCs w:val="22"/>
        </w:rPr>
        <w:t xml:space="preserve">6. Provenance shown on every record</w:t>
      </w:r>
      <w:r>
        <w:rPr>
          <w:rFonts w:ascii="Calibri" w:cs="Calibri" w:eastAsia="Calibri" w:hAnsi="Calibri"/>
          <w:color w:val="2B3736"/>
          <w:sz w:val="22"/>
          <w:szCs w:val="22"/>
        </w:rPr>
        <w:t xml:space="preserve">	8</w:t>
      </w:r>
    </w:p>
    <w:p>
      <w:pPr>
        <w:tabs>
          <w:tab w:val="right" w:pos="9360" w:leader="dot"/>
        </w:tabs>
        <w:spacing w:after="64"/>
      </w:pPr>
      <w:r>
        <w:rPr>
          <w:rFonts w:ascii="Calibri" w:cs="Calibri" w:eastAsia="Calibri" w:hAnsi="Calibri"/>
          <w:b/>
          <w:bCs/>
          <w:color w:val="620D3C"/>
          <w:sz w:val="22"/>
          <w:szCs w:val="22"/>
        </w:rPr>
        <w:t xml:space="preserve">7. Data-integrity principles</w:t>
      </w:r>
      <w:r>
        <w:rPr>
          <w:rFonts w:ascii="Calibri" w:cs="Calibri" w:eastAsia="Calibri" w:hAnsi="Calibri"/>
          <w:color w:val="2B3736"/>
          <w:sz w:val="22"/>
          <w:szCs w:val="22"/>
        </w:rPr>
        <w:t xml:space="preserve">	8</w:t>
      </w:r>
    </w:p>
    <w:p>
      <w:pPr>
        <w:tabs>
          <w:tab w:val="right" w:pos="9360" w:leader="dot"/>
        </w:tabs>
        <w:spacing w:after="64"/>
      </w:pPr>
      <w:r>
        <w:rPr>
          <w:rFonts w:ascii="Calibri" w:cs="Calibri" w:eastAsia="Calibri" w:hAnsi="Calibri"/>
          <w:b/>
          <w:bCs/>
          <w:color w:val="620D3C"/>
          <w:sz w:val="22"/>
          <w:szCs w:val="22"/>
        </w:rPr>
        <w:t xml:space="preserve">8. Category quick reference</w:t>
      </w:r>
      <w:r>
        <w:rPr>
          <w:rFonts w:ascii="Calibri" w:cs="Calibri" w:eastAsia="Calibri" w:hAnsi="Calibri"/>
          <w:color w:val="2B3736"/>
          <w:sz w:val="22"/>
          <w:szCs w:val="22"/>
        </w:rPr>
        <w:t xml:space="preserve">	9</w:t>
      </w:r>
    </w:p>
    <w:p>
      <w:pPr>
        <w:tabs>
          <w:tab w:val="right" w:pos="9360" w:leader="dot"/>
        </w:tabs>
        <w:spacing w:after="64"/>
      </w:pPr>
      <w:r>
        <w:rPr>
          <w:rFonts w:ascii="Calibri" w:cs="Calibri" w:eastAsia="Calibri" w:hAnsi="Calibri"/>
          <w:b/>
          <w:bCs/>
          <w:color w:val="620D3C"/>
          <w:sz w:val="22"/>
          <w:szCs w:val="22"/>
        </w:rPr>
        <w:t xml:space="preserve">9. Glossary</w:t>
      </w:r>
      <w:r>
        <w:rPr>
          <w:rFonts w:ascii="Calibri" w:cs="Calibri" w:eastAsia="Calibri" w:hAnsi="Calibri"/>
          <w:color w:val="2B3736"/>
          <w:sz w:val="22"/>
          <w:szCs w:val="22"/>
        </w:rPr>
        <w:t xml:space="preserve">	9</w:t>
      </w:r>
    </w:p>
    <w:p>
      <w:r>
        <w:br w:type="page"/>
      </w:r>
    </w:p>
    <w:p>
      <w:pPr>
        <w:pStyle w:val="Heading1"/>
        <w:spacing w:after="140" w:before="320"/>
      </w:pPr>
      <w:r>
        <w:rPr>
          <w:rFonts w:ascii="Calibri" w:cs="Calibri" w:eastAsia="Calibri" w:hAnsi="Calibri"/>
          <w:b/>
          <w:bCs/>
          <w:color w:val="620D3C"/>
          <w:sz w:val="30"/>
          <w:szCs w:val="30"/>
        </w:rPr>
        <w:t xml:space="preserve">1. About this reference</w:t>
      </w:r>
    </w:p>
    <w:p>
      <w:pPr>
        <w:spacing w:after="120" w:before="0" w:line="276"/>
      </w:pPr>
      <w:r>
        <w:rPr>
          <w:rFonts w:ascii="Calibri" w:cs="Calibri" w:eastAsia="Calibri" w:hAnsi="Calibri"/>
          <w:color w:val="2B3736"/>
          <w:sz w:val="21"/>
          <w:szCs w:val="21"/>
        </w:rPr>
        <w:t xml:space="preserve">The India Geoportal Catalog is a </w:t>
      </w:r>
      <w:r>
        <w:rPr>
          <w:rFonts w:ascii="Calibri" w:cs="Calibri" w:eastAsia="Calibri" w:hAnsi="Calibri"/>
          <w:b/>
          <w:bCs/>
          <w:color w:val="2B3736"/>
          <w:sz w:val="21"/>
          <w:szCs w:val="21"/>
        </w:rPr>
        <w:t xml:space="preserve">discovery layer</w:t>
      </w:r>
      <w:r>
        <w:rPr>
          <w:rFonts w:ascii="Calibri" w:cs="Calibri" w:eastAsia="Calibri" w:hAnsi="Calibri"/>
          <w:color w:val="2B3736"/>
          <w:sz w:val="21"/>
          <w:szCs w:val="21"/>
        </w:rPr>
        <w:t xml:space="preserve"> for India-relevant geospatial data. It does not host data; every record links out to the source agency’s own portal, where that agency’s licence terms apply.</w:t>
      </w:r>
    </w:p>
    <w:p>
      <w:pPr>
        <w:spacing w:after="120" w:before="0" w:line="276"/>
      </w:pPr>
      <w:r>
        <w:rPr>
          <w:rFonts w:ascii="Calibri" w:cs="Calibri" w:eastAsia="Calibri" w:hAnsi="Calibri"/>
          <w:color w:val="2B3736"/>
          <w:sz w:val="21"/>
          <w:szCs w:val="21"/>
        </w:rPr>
        <w:t xml:space="preserve">This reference explains the categories and classification rules used across the catalogue — what each field means, the fixed set of values it can take, how confidence and link verification are derived, and how the Geoportal Assessment score is computed. Every definition and figure here is taken directly from the dashboard.</w:t>
      </w:r>
    </w:p>
    <w:p>
      <w:pPr>
        <w:pStyle w:val="Heading3"/>
        <w:spacing w:after="80" w:before="180"/>
      </w:pPr>
      <w:r>
        <w:rPr>
          <w:rFonts w:ascii="Calibri" w:cs="Calibri" w:eastAsia="Calibri" w:hAnsi="Calibri"/>
          <w:b/>
          <w:bCs/>
          <w:color w:val="5E5349"/>
          <w:sz w:val="22"/>
          <w:szCs w:val="22"/>
        </w:rPr>
        <w:t xml:space="preserve">How to use it</w:t>
      </w:r>
    </w:p>
    <w:p>
      <w:pPr>
        <w:pStyle w:val="ListParagraph"/>
        <w:numPr>
          <w:ilvl w:val="0"/>
          <w:numId w:val="2"/>
        </w:numPr>
        <w:spacing w:after="70" w:line="270"/>
      </w:pPr>
      <w:r>
        <w:rPr>
          <w:rFonts w:ascii="Calibri" w:cs="Calibri" w:eastAsia="Calibri" w:hAnsi="Calibri"/>
          <w:color w:val="2B3736"/>
          <w:sz w:val="21"/>
          <w:szCs w:val="21"/>
        </w:rPr>
        <w:t xml:space="preserve">Section 3 — the classification dimensions on every record (provider, scope, coverage, theme, data type, access, licence, timeframe).</w:t>
      </w:r>
    </w:p>
    <w:p>
      <w:pPr>
        <w:pStyle w:val="ListParagraph"/>
        <w:numPr>
          <w:ilvl w:val="0"/>
          <w:numId w:val="2"/>
        </w:numPr>
        <w:spacing w:after="70" w:line="270"/>
      </w:pPr>
      <w:r>
        <w:rPr>
          <w:rFonts w:ascii="Calibri" w:cs="Calibri" w:eastAsia="Calibri" w:hAnsi="Calibri"/>
          <w:color w:val="2B3736"/>
          <w:sz w:val="21"/>
          <w:szCs w:val="21"/>
        </w:rPr>
        <w:t xml:space="preserve">Section 4 — the confidence and link-verification model; the key to judging how far any single link has been checked.</w:t>
      </w:r>
    </w:p>
    <w:p>
      <w:pPr>
        <w:pStyle w:val="ListParagraph"/>
        <w:numPr>
          <w:ilvl w:val="0"/>
          <w:numId w:val="2"/>
        </w:numPr>
        <w:spacing w:after="70" w:line="270"/>
      </w:pPr>
      <w:r>
        <w:rPr>
          <w:rFonts w:ascii="Calibri" w:cs="Calibri" w:eastAsia="Calibri" w:hAnsi="Calibri"/>
          <w:color w:val="2B3736"/>
          <w:sz w:val="21"/>
          <w:szCs w:val="21"/>
        </w:rPr>
        <w:t xml:space="preserve">Section 5 — exactly how the Geoportal Assessment score is calculated, and what it does and does not mean.</w:t>
      </w:r>
    </w:p>
    <w:p>
      <w:pPr>
        <w:pStyle w:val="ListParagraph"/>
        <w:numPr>
          <w:ilvl w:val="0"/>
          <w:numId w:val="2"/>
        </w:numPr>
        <w:spacing w:after="70" w:line="270"/>
      </w:pPr>
      <w:r>
        <w:rPr>
          <w:rFonts w:ascii="Calibri" w:cs="Calibri" w:eastAsia="Calibri" w:hAnsi="Calibri"/>
          <w:color w:val="2B3736"/>
          <w:sz w:val="21"/>
          <w:szCs w:val="21"/>
        </w:rPr>
        <w:t xml:space="preserve">Section 8 — a one-page quick reference of every category value and its record count.</w:t>
      </w:r>
    </w:p>
    <w:p>
      <w:pPr>
        <w:spacing w:after="120" w:before="60" w:line="276"/>
      </w:pPr>
      <w:r>
        <w:rPr>
          <w:rFonts w:ascii="Calibri" w:cs="Calibri" w:eastAsia="Calibri" w:hAnsi="Calibri"/>
          <w:b/>
          <w:bCs/>
          <w:color w:val="2B3736"/>
          <w:sz w:val="21"/>
          <w:szCs w:val="21"/>
        </w:rPr>
        <w:t xml:space="preserve">Counts are a snapshot</w:t>
      </w:r>
      <w:r>
        <w:rPr>
          <w:rFonts w:ascii="Calibri" w:cs="Calibri" w:eastAsia="Calibri" w:hAnsi="Calibri"/>
          <w:color w:val="2B3736"/>
          <w:sz w:val="21"/>
          <w:szCs w:val="21"/>
        </w:rPr>
        <w:t xml:space="preserve"> of the catalogue at the time of writing (584 records). They shift as the catalogue is maintained; the definitions and rules do not.</w:t>
      </w:r>
    </w:p>
    <w:p>
      <w:pPr>
        <w:pStyle w:val="Heading1"/>
        <w:spacing w:after="140" w:before="320"/>
      </w:pPr>
      <w:r>
        <w:rPr>
          <w:rFonts w:ascii="Calibri" w:cs="Calibri" w:eastAsia="Calibri" w:hAnsi="Calibri"/>
          <w:b/>
          <w:bCs/>
          <w:color w:val="620D3C"/>
          <w:sz w:val="30"/>
          <w:szCs w:val="30"/>
        </w:rPr>
        <w:t xml:space="preserve">2. What this catalog is — and is not</w:t>
      </w:r>
    </w:p>
    <w:p>
      <w:pPr>
        <w:spacing w:after="120" w:before="0" w:line="276"/>
      </w:pPr>
      <w:r>
        <w:rPr>
          <w:rFonts w:ascii="Calibri" w:cs="Calibri" w:eastAsia="Calibri" w:hAnsi="Calibri"/>
          <w:b/>
          <w:bCs/>
          <w:color w:val="620D3C"/>
          <w:sz w:val="21"/>
          <w:szCs w:val="21"/>
        </w:rPr>
        <w:t xml:space="preserve">A discovery layer, not a data host.</w:t>
      </w:r>
    </w:p>
    <w:p>
      <w:pPr>
        <w:spacing w:after="120" w:before="0" w:line="276"/>
      </w:pPr>
      <w:r>
        <w:rPr>
          <w:rFonts w:ascii="Calibri" w:cs="Calibri" w:eastAsia="Calibri" w:hAnsi="Calibri"/>
          <w:color w:val="2B3736"/>
          <w:sz w:val="21"/>
          <w:szCs w:val="21"/>
        </w:rPr>
        <w:t xml:space="preserve">Nothing is re-served here. Every record links out to the agency’s own portal, and the agency’s terms govern use.</w:t>
      </w:r>
    </w:p>
    <w:p>
      <w:pPr>
        <w:spacing w:after="120" w:before="0" w:line="276"/>
      </w:pPr>
      <w:r>
        <w:rPr>
          <w:rFonts w:ascii="Calibri" w:cs="Calibri" w:eastAsia="Calibri" w:hAnsi="Calibri"/>
          <w:b/>
          <w:bCs/>
          <w:color w:val="620D3C"/>
          <w:sz w:val="21"/>
          <w:szCs w:val="21"/>
        </w:rPr>
        <w:t xml:space="preserve">Licence is the field most likely to mislead you.</w:t>
      </w:r>
    </w:p>
    <w:p>
      <w:pPr>
        <w:spacing w:after="120" w:before="0" w:line="276"/>
      </w:pPr>
      <w:r>
        <w:rPr>
          <w:rFonts w:ascii="Calibri" w:cs="Calibri" w:eastAsia="Calibri" w:hAnsi="Calibri"/>
          <w:color w:val="2B3736"/>
          <w:sz w:val="21"/>
          <w:szCs w:val="21"/>
        </w:rPr>
        <w:t xml:space="preserve">Licence categories are classified from free-text in the source survey. Where the evidence was thin the record reads “Unclassified”. This catalogue is never licence clearance — open the source and check before use.</w:t>
      </w:r>
    </w:p>
    <w:p>
      <w:pPr>
        <w:spacing w:after="120" w:before="0" w:line="276"/>
      </w:pPr>
      <w:r>
        <w:rPr>
          <w:rFonts w:ascii="Calibri" w:cs="Calibri" w:eastAsia="Calibri" w:hAnsi="Calibri"/>
          <w:b/>
          <w:bCs/>
          <w:color w:val="620D3C"/>
          <w:sz w:val="21"/>
          <w:szCs w:val="21"/>
        </w:rPr>
        <w:t xml:space="preserve">Coverage and themes are normalised from free-text.</w:t>
      </w:r>
    </w:p>
    <w:p>
      <w:pPr>
        <w:spacing w:after="120" w:before="0" w:line="276"/>
      </w:pPr>
      <w:r>
        <w:rPr>
          <w:rFonts w:ascii="Calibri" w:cs="Calibri" w:eastAsia="Calibri" w:hAnsi="Calibri"/>
          <w:color w:val="2B3736"/>
          <w:sz w:val="21"/>
          <w:szCs w:val="21"/>
        </w:rPr>
        <w:t xml:space="preserve">Anything unresolvable is grouped as “Unclassified” rather than minting a one-record category. The original fine-grained theme stays on every record and in the sub-theme filter.</w:t>
      </w:r>
    </w:p>
    <w:p>
      <w:pPr>
        <w:spacing w:after="120" w:before="0" w:line="276"/>
      </w:pPr>
      <w:r>
        <w:rPr>
          <w:rFonts w:ascii="Calibri" w:cs="Calibri" w:eastAsia="Calibri" w:hAnsi="Calibri"/>
          <w:b/>
          <w:bCs/>
          <w:color w:val="620D3C"/>
          <w:sz w:val="21"/>
          <w:szCs w:val="21"/>
        </w:rPr>
        <w:t xml:space="preserve">Missing values are recorded honestly.</w:t>
      </w:r>
    </w:p>
    <w:p>
      <w:pPr>
        <w:spacing w:after="120" w:before="0" w:line="276"/>
      </w:pPr>
      <w:r>
        <w:rPr>
          <w:rFonts w:ascii="Calibri" w:cs="Calibri" w:eastAsia="Calibri" w:hAnsi="Calibri"/>
          <w:color w:val="2B3736"/>
          <w:sz w:val="21"/>
          <w:szCs w:val="21"/>
        </w:rPr>
        <w:t xml:space="preserve">Where a value is genuinely unknown, the record reads “Not specified” or “Unclassified” rather than guessing. Nothing is filled in to look more complete than the evidence supports.</w:t>
      </w:r>
    </w:p>
    <w:p>
      <w:pPr>
        <w:pStyle w:val="Heading1"/>
        <w:spacing w:after="140" w:before="320"/>
      </w:pPr>
      <w:r>
        <w:rPr>
          <w:rFonts w:ascii="Calibri" w:cs="Calibri" w:eastAsia="Calibri" w:hAnsi="Calibri"/>
          <w:b/>
          <w:bCs/>
          <w:color w:val="620D3C"/>
          <w:sz w:val="30"/>
          <w:szCs w:val="30"/>
        </w:rPr>
        <w:t xml:space="preserve">3. Record classification dimensions</w:t>
      </w:r>
    </w:p>
    <w:p>
      <w:pPr>
        <w:pStyle w:val="Heading2"/>
        <w:spacing w:after="100" w:before="240"/>
      </w:pPr>
      <w:r>
        <w:rPr>
          <w:rFonts w:ascii="Calibri" w:cs="Calibri" w:eastAsia="Calibri" w:hAnsi="Calibri"/>
          <w:b/>
          <w:bCs/>
          <w:color w:val="2B3736"/>
          <w:sz w:val="25"/>
          <w:szCs w:val="25"/>
        </w:rPr>
        <w:t xml:space="preserve">3.1 Provider Type (Sector)</w:t>
      </w:r>
    </w:p>
    <w:p>
      <w:pPr>
        <w:spacing w:after="120" w:before="0" w:line="276"/>
      </w:pPr>
      <w:r>
        <w:rPr>
          <w:rFonts w:ascii="Calibri" w:cs="Calibri" w:eastAsia="Calibri" w:hAnsi="Calibri"/>
          <w:color w:val="2B3736"/>
          <w:sz w:val="21"/>
          <w:szCs w:val="21"/>
        </w:rPr>
        <w:t xml:space="preserve">Provider Type answers </w:t>
      </w:r>
      <w:r>
        <w:rPr>
          <w:rFonts w:ascii="Calibri" w:cs="Calibri" w:eastAsia="Calibri" w:hAnsi="Calibri"/>
          <w:b/>
          <w:bCs/>
          <w:color w:val="2B3736"/>
          <w:sz w:val="21"/>
          <w:szCs w:val="21"/>
        </w:rPr>
        <w:t xml:space="preserve">who runs the portal</w:t>
      </w:r>
      <w:r>
        <w:rPr>
          <w:rFonts w:ascii="Calibri" w:cs="Calibri" w:eastAsia="Calibri" w:hAnsi="Calibri"/>
          <w:color w:val="2B3736"/>
          <w:sz w:val="21"/>
          <w:szCs w:val="21"/>
        </w:rPr>
        <w:t xml:space="preserve">, not what it covers. It is a fixed set of four values; a new source is always mapped to the closest of the four rather than given a new sector.</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600"/>
        <w:gridCol w:w="1100"/>
        <w:gridCol w:w="5660"/>
      </w:tblGrid>
      <w:tr>
        <w:trPr>
          <w:tblHeader/>
        </w:trPr>
        <w:tc>
          <w:tcPr>
            <w:tcW w:type="dxa" w:w="26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Provider Type</w:t>
            </w:r>
          </w:p>
        </w:tc>
        <w:tc>
          <w:tcPr>
            <w:tcW w:type="dxa" w:w="11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56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What it means</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Government &amp; PSU</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399</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Central/state government departments and public-sector undertakings.</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NGOs &amp; Intl Orgs</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71</w:t>
            </w:r>
          </w:p>
        </w:tc>
        <w:tc>
          <w:tcPr>
            <w:tcW w:type="dxa" w:w="5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Non-governmental organisations, multilateral and UN-system bodies.</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Commercial Providers</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63</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Private-sector data vendors and platforms.</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Scientific Institutions</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51</w:t>
            </w:r>
          </w:p>
        </w:tc>
        <w:tc>
          <w:tcPr>
            <w:tcW w:type="dxa" w:w="5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Research institutes, universities and scientific agencies.</w:t>
            </w:r>
          </w:p>
        </w:tc>
      </w:tr>
    </w:tbl>
    <w:p>
      <w:pPr>
        <w:pStyle w:val="Heading2"/>
        <w:spacing w:after="100" w:before="240"/>
      </w:pPr>
      <w:r>
        <w:rPr>
          <w:rFonts w:ascii="Calibri" w:cs="Calibri" w:eastAsia="Calibri" w:hAnsi="Calibri"/>
          <w:b/>
          <w:bCs/>
          <w:color w:val="2B3736"/>
          <w:sz w:val="25"/>
          <w:szCs w:val="25"/>
        </w:rPr>
        <w:t xml:space="preserve">3.2 Scope (India vs Global)</w:t>
      </w:r>
    </w:p>
    <w:p>
      <w:pPr>
        <w:spacing w:after="120" w:before="0" w:line="276"/>
      </w:pPr>
      <w:r>
        <w:rPr>
          <w:rFonts w:ascii="Calibri" w:cs="Calibri" w:eastAsia="Calibri" w:hAnsi="Calibri"/>
          <w:color w:val="2B3736"/>
          <w:sz w:val="21"/>
          <w:szCs w:val="21"/>
        </w:rPr>
        <w:t xml:space="preserve">Scope is a two-value field: </w:t>
      </w:r>
      <w:r>
        <w:rPr>
          <w:rFonts w:ascii="Calibri" w:cs="Calibri" w:eastAsia="Calibri" w:hAnsi="Calibri"/>
          <w:b/>
          <w:bCs/>
          <w:color w:val="2B3736"/>
          <w:sz w:val="21"/>
          <w:szCs w:val="21"/>
        </w:rPr>
        <w:t xml:space="preserve">India</w:t>
      </w:r>
      <w:r>
        <w:rPr>
          <w:rFonts w:ascii="Calibri" w:cs="Calibri" w:eastAsia="Calibri" w:hAnsi="Calibri"/>
          <w:color w:val="2B3736"/>
          <w:sz w:val="21"/>
          <w:szCs w:val="21"/>
        </w:rPr>
        <w:t xml:space="preserve"> or </w:t>
      </w:r>
      <w:r>
        <w:rPr>
          <w:rFonts w:ascii="Calibri" w:cs="Calibri" w:eastAsia="Calibri" w:hAnsi="Calibri"/>
          <w:b/>
          <w:bCs/>
          <w:color w:val="2B3736"/>
          <w:sz w:val="21"/>
          <w:szCs w:val="21"/>
        </w:rPr>
        <w:t xml:space="preserve">Global</w:t>
      </w:r>
      <w:r>
        <w:rPr>
          <w:rFonts w:ascii="Calibri" w:cs="Calibri" w:eastAsia="Calibri" w:hAnsi="Calibri"/>
          <w:color w:val="2B3736"/>
          <w:sz w:val="21"/>
          <w:szCs w:val="21"/>
        </w:rPr>
        <w:t xml:space="preserve">. A source is marked Global only when an international source has a confirmed India-specific deep link — never a generic global homepage.</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000"/>
        <w:gridCol w:w="1100"/>
        <w:gridCol w:w="6260"/>
      </w:tblGrid>
      <w:tr>
        <w:trPr>
          <w:tblHeader/>
        </w:trPr>
        <w:tc>
          <w:tcPr>
            <w:tcW w:type="dxa" w:w="20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Scope</w:t>
            </w:r>
          </w:p>
        </w:tc>
        <w:tc>
          <w:tcPr>
            <w:tcW w:type="dxa" w:w="11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62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What it means</w:t>
            </w:r>
          </w:p>
        </w:tc>
      </w:tr>
      <w:tr>
        <w:tc>
          <w:tcPr>
            <w:tcW w:type="dxa" w:w="2000"/>
            <w:tcMar>
              <w:top w:type="dxa" w:w="50"/>
              <w:left w:type="dxa" w:w="90"/>
              <w:bottom w:type="dxa" w:w="50"/>
              <w:right w:type="dxa" w:w="90"/>
            </w:tcMar>
          </w:tcPr>
          <w:p>
            <w:r>
              <w:rPr>
                <w:rFonts w:ascii="Calibri" w:cs="Calibri" w:eastAsia="Calibri" w:hAnsi="Calibri"/>
                <w:color w:val="2B3736"/>
                <w:sz w:val="19"/>
                <w:szCs w:val="19"/>
              </w:rPr>
              <w:t xml:space="preserve">India</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495</w:t>
            </w:r>
          </w:p>
        </w:tc>
        <w:tc>
          <w:tcPr>
            <w:tcW w:type="dxa" w:w="6260"/>
            <w:tcMar>
              <w:top w:type="dxa" w:w="50"/>
              <w:left w:type="dxa" w:w="90"/>
              <w:bottom w:type="dxa" w:w="50"/>
              <w:right w:type="dxa" w:w="90"/>
            </w:tcMar>
          </w:tcPr>
          <w:p>
            <w:r>
              <w:rPr>
                <w:rFonts w:ascii="Calibri" w:cs="Calibri" w:eastAsia="Calibri" w:hAnsi="Calibri"/>
                <w:color w:val="2B3736"/>
                <w:sz w:val="19"/>
                <w:szCs w:val="19"/>
              </w:rPr>
              <w:t xml:space="preserve">Indian source, or an international source with an India-specific holding.</w:t>
            </w:r>
          </w:p>
        </w:tc>
      </w:tr>
      <w:tr>
        <w:tc>
          <w:tcPr>
            <w:tcW w:type="dxa" w:w="20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Global</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89</w:t>
            </w:r>
          </w:p>
        </w:tc>
        <w:tc>
          <w:tcPr>
            <w:tcW w:type="dxa" w:w="62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International source reached via a confirmed India-specific deep link.</w:t>
            </w:r>
          </w:p>
        </w:tc>
      </w:tr>
    </w:tbl>
    <w:p>
      <w:pPr>
        <w:spacing w:after="120" w:before="40" w:line="276"/>
      </w:pPr>
      <w:r>
        <w:rPr>
          <w:rFonts w:ascii="Calibri" w:cs="Calibri" w:eastAsia="Calibri" w:hAnsi="Calibri"/>
          <w:i/>
          <w:iCs/>
          <w:color w:val="5E5349"/>
          <w:sz w:val="21"/>
          <w:szCs w:val="21"/>
        </w:rPr>
        <w:t xml:space="preserve">National, multi-state and global records are not attributable to a single state and are not shaded on the map, but they still count in the KPIs and the coverage assessment.</w:t>
      </w:r>
    </w:p>
    <w:p>
      <w:pPr>
        <w:pStyle w:val="Heading2"/>
        <w:spacing w:after="100" w:before="240"/>
      </w:pPr>
      <w:r>
        <w:rPr>
          <w:rFonts w:ascii="Calibri" w:cs="Calibri" w:eastAsia="Calibri" w:hAnsi="Calibri"/>
          <w:b/>
          <w:bCs/>
          <w:color w:val="2B3736"/>
          <w:sz w:val="25"/>
          <w:szCs w:val="25"/>
        </w:rPr>
        <w:t xml:space="preserve">3.3 Coverage Tier</w:t>
      </w:r>
    </w:p>
    <w:p>
      <w:pPr>
        <w:spacing w:after="120" w:before="0" w:line="276"/>
      </w:pPr>
      <w:r>
        <w:rPr>
          <w:rFonts w:ascii="Calibri" w:cs="Calibri" w:eastAsia="Calibri" w:hAnsi="Calibri"/>
          <w:color w:val="2B3736"/>
          <w:sz w:val="21"/>
          <w:szCs w:val="21"/>
        </w:rPr>
        <w:t xml:space="preserve">Coverage Tier is the geographic granularity of what a record covers, on a fixed ladder: National → State → Union Territory → Multi-state/thematic → Regional/global.</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600"/>
        <w:gridCol w:w="1100"/>
        <w:gridCol w:w="5660"/>
      </w:tblGrid>
      <w:tr>
        <w:trPr>
          <w:tblHeader/>
        </w:trPr>
        <w:tc>
          <w:tcPr>
            <w:tcW w:type="dxa" w:w="26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Coverage Tier</w:t>
            </w:r>
          </w:p>
        </w:tc>
        <w:tc>
          <w:tcPr>
            <w:tcW w:type="dxa" w:w="11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56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What it means</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State</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253</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Covers a single Indian state.</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National</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138</w:t>
            </w:r>
          </w:p>
        </w:tc>
        <w:tc>
          <w:tcPr>
            <w:tcW w:type="dxa" w:w="5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All-India coverage.</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Regional / global</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134</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Sub-national region not tied to one state, or global extent.</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Multi-state / thematic</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32</w:t>
            </w:r>
          </w:p>
        </w:tc>
        <w:tc>
          <w:tcPr>
            <w:tcW w:type="dxa" w:w="5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Spans several states, or is organised thematically rather than by boundary.</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Union Territory</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27</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Covers a single Union Territory.</w:t>
            </w:r>
          </w:p>
        </w:tc>
      </w:tr>
    </w:tbl>
    <w:p>
      <w:pPr>
        <w:pStyle w:val="Heading2"/>
        <w:spacing w:after="100" w:before="240"/>
      </w:pPr>
      <w:r>
        <w:rPr>
          <w:rFonts w:ascii="Calibri" w:cs="Calibri" w:eastAsia="Calibri" w:hAnsi="Calibri"/>
          <w:b/>
          <w:bCs/>
          <w:color w:val="2B3736"/>
          <w:sz w:val="25"/>
          <w:szCs w:val="25"/>
        </w:rPr>
        <w:t xml:space="preserve">3.4 Theme and Theme Group</w:t>
      </w:r>
    </w:p>
    <w:p>
      <w:pPr>
        <w:spacing w:after="120" w:before="0" w:line="276"/>
      </w:pPr>
      <w:r>
        <w:rPr>
          <w:rFonts w:ascii="Calibri" w:cs="Calibri" w:eastAsia="Calibri" w:hAnsi="Calibri"/>
          <w:b/>
          <w:bCs/>
          <w:color w:val="2B3736"/>
          <w:sz w:val="21"/>
          <w:szCs w:val="21"/>
        </w:rPr>
        <w:t xml:space="preserve">Theme</w:t>
      </w:r>
      <w:r>
        <w:rPr>
          <w:rFonts w:ascii="Calibri" w:cs="Calibri" w:eastAsia="Calibri" w:hAnsi="Calibri"/>
          <w:color w:val="2B3736"/>
          <w:sz w:val="21"/>
          <w:szCs w:val="21"/>
        </w:rPr>
        <w:t xml:space="preserve"> is fine-grained and kept close to the source’s own wording (100+ values). Every Theme rolls up to one of </w:t>
      </w:r>
      <w:r>
        <w:rPr>
          <w:rFonts w:ascii="Calibri" w:cs="Calibri" w:eastAsia="Calibri" w:hAnsi="Calibri"/>
          <w:b/>
          <w:bCs/>
          <w:color w:val="2B3736"/>
          <w:sz w:val="21"/>
          <w:szCs w:val="21"/>
        </w:rPr>
        <w:t xml:space="preserve">16 fixed Theme Groups</w:t>
      </w:r>
      <w:r>
        <w:rPr>
          <w:rFonts w:ascii="Calibri" w:cs="Calibri" w:eastAsia="Calibri" w:hAnsi="Calibri"/>
          <w:color w:val="2B3736"/>
          <w:sz w:val="21"/>
          <w:szCs w:val="21"/>
        </w:rPr>
        <w:t xml:space="preserve">, which is what the filter chips and the map actually use. New sources are matched to an existing group rather than minting a new one.</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3400"/>
        <w:gridCol w:w="1280"/>
        <w:gridCol w:w="3400"/>
        <w:gridCol w:w="1280"/>
      </w:tblGrid>
      <w:tr>
        <w:trPr>
          <w:tblHeader/>
        </w:trPr>
        <w:tc>
          <w:tcPr>
            <w:tcW w:type="dxa" w:w="34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Theme Group</w:t>
            </w:r>
          </w:p>
        </w:tc>
        <w:tc>
          <w:tcPr>
            <w:tcW w:type="dxa" w:w="128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34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Theme Group</w:t>
            </w:r>
          </w:p>
        </w:tc>
        <w:tc>
          <w:tcPr>
            <w:tcW w:type="dxa" w:w="128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r>
      <w:tr>
        <w:tc>
          <w:tcPr>
            <w:tcW w:type="dxa" w:w="3400"/>
            <w:tcMar>
              <w:top w:type="dxa" w:w="50"/>
              <w:left w:type="dxa" w:w="90"/>
              <w:bottom w:type="dxa" w:w="50"/>
              <w:right w:type="dxa" w:w="90"/>
            </w:tcMar>
          </w:tcPr>
          <w:p>
            <w:r>
              <w:rPr>
                <w:rFonts w:ascii="Calibri" w:cs="Calibri" w:eastAsia="Calibri" w:hAnsi="Calibri"/>
                <w:color w:val="2B3736"/>
                <w:sz w:val="19"/>
                <w:szCs w:val="19"/>
              </w:rPr>
              <w:t xml:space="preserve">Base mapping &amp; boundaries</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95</w:t>
            </w:r>
          </w:p>
        </w:tc>
        <w:tc>
          <w:tcPr>
            <w:tcW w:type="dxa" w:w="3400"/>
            <w:tcMar>
              <w:top w:type="dxa" w:w="50"/>
              <w:left w:type="dxa" w:w="90"/>
              <w:bottom w:type="dxa" w:w="50"/>
              <w:right w:type="dxa" w:w="90"/>
            </w:tcMar>
          </w:tcPr>
          <w:p>
            <w:r>
              <w:rPr>
                <w:rFonts w:ascii="Calibri" w:cs="Calibri" w:eastAsia="Calibri" w:hAnsi="Calibri"/>
                <w:color w:val="2B3736"/>
                <w:sz w:val="19"/>
                <w:szCs w:val="19"/>
              </w:rPr>
              <w:t xml:space="preserve">Geology, minerals &amp; energy</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30</w:t>
            </w:r>
          </w:p>
        </w:tc>
      </w:tr>
      <w:tr>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Urban &amp; municipal</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72</w:t>
            </w:r>
          </w:p>
        </w:tc>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Agriculture</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28</w:t>
            </w:r>
          </w:p>
        </w:tc>
      </w:tr>
      <w:tr>
        <w:tc>
          <w:tcPr>
            <w:tcW w:type="dxa" w:w="3400"/>
            <w:tcMar>
              <w:top w:type="dxa" w:w="50"/>
              <w:left w:type="dxa" w:w="90"/>
              <w:bottom w:type="dxa" w:w="50"/>
              <w:right w:type="dxa" w:w="90"/>
            </w:tcMar>
          </w:tcPr>
          <w:p>
            <w:r>
              <w:rPr>
                <w:rFonts w:ascii="Calibri" w:cs="Calibri" w:eastAsia="Calibri" w:hAnsi="Calibri"/>
                <w:color w:val="2B3736"/>
                <w:sz w:val="19"/>
                <w:szCs w:val="19"/>
              </w:rPr>
              <w:t xml:space="preserve">Multi-theme &amp; catalogues</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51</w:t>
            </w:r>
          </w:p>
        </w:tc>
        <w:tc>
          <w:tcPr>
            <w:tcW w:type="dxa" w:w="3400"/>
            <w:tcMar>
              <w:top w:type="dxa" w:w="50"/>
              <w:left w:type="dxa" w:w="90"/>
              <w:bottom w:type="dxa" w:w="50"/>
              <w:right w:type="dxa" w:w="90"/>
            </w:tcMar>
          </w:tcPr>
          <w:p>
            <w:r>
              <w:rPr>
                <w:rFonts w:ascii="Calibri" w:cs="Calibri" w:eastAsia="Calibri" w:hAnsi="Calibri"/>
                <w:color w:val="2B3736"/>
                <w:sz w:val="19"/>
                <w:szCs w:val="19"/>
              </w:rPr>
              <w:t xml:space="preserve">Population &amp; society</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28</w:t>
            </w:r>
          </w:p>
        </w:tc>
      </w:tr>
      <w:tr>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Water &amp; hydrology</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50</w:t>
            </w:r>
          </w:p>
        </w:tc>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Disaster &amp; risk</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24</w:t>
            </w:r>
          </w:p>
        </w:tc>
      </w:tr>
      <w:tr>
        <w:tc>
          <w:tcPr>
            <w:tcW w:type="dxa" w:w="3400"/>
            <w:tcMar>
              <w:top w:type="dxa" w:w="50"/>
              <w:left w:type="dxa" w:w="90"/>
              <w:bottom w:type="dxa" w:w="50"/>
              <w:right w:type="dxa" w:w="90"/>
            </w:tcMar>
          </w:tcPr>
          <w:p>
            <w:r>
              <w:rPr>
                <w:rFonts w:ascii="Calibri" w:cs="Calibri" w:eastAsia="Calibri" w:hAnsi="Calibri"/>
                <w:color w:val="2B3736"/>
                <w:sz w:val="19"/>
                <w:szCs w:val="19"/>
              </w:rPr>
              <w:t xml:space="preserve">Forest, biodiversity &amp; land cover</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36</w:t>
            </w:r>
          </w:p>
        </w:tc>
        <w:tc>
          <w:tcPr>
            <w:tcW w:type="dxa" w:w="3400"/>
            <w:tcMar>
              <w:top w:type="dxa" w:w="50"/>
              <w:left w:type="dxa" w:w="90"/>
              <w:bottom w:type="dxa" w:w="50"/>
              <w:right w:type="dxa" w:w="90"/>
            </w:tcMar>
          </w:tcPr>
          <w:p>
            <w:r>
              <w:rPr>
                <w:rFonts w:ascii="Calibri" w:cs="Calibri" w:eastAsia="Calibri" w:hAnsi="Calibri"/>
                <w:color w:val="2B3736"/>
                <w:sz w:val="19"/>
                <w:szCs w:val="19"/>
              </w:rPr>
              <w:t xml:space="preserve">Imagery &amp; elevation</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22</w:t>
            </w:r>
          </w:p>
        </w:tc>
      </w:tr>
      <w:tr>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Transport &amp; infrastructure</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35</w:t>
            </w:r>
          </w:p>
        </w:tc>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Economy, trade &amp; development</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21</w:t>
            </w:r>
          </w:p>
        </w:tc>
      </w:tr>
      <w:tr>
        <w:tc>
          <w:tcPr>
            <w:tcW w:type="dxa" w:w="3400"/>
            <w:tcMar>
              <w:top w:type="dxa" w:w="50"/>
              <w:left w:type="dxa" w:w="90"/>
              <w:bottom w:type="dxa" w:w="50"/>
              <w:right w:type="dxa" w:w="90"/>
            </w:tcMar>
          </w:tcPr>
          <w:p>
            <w:r>
              <w:rPr>
                <w:rFonts w:ascii="Calibri" w:cs="Calibri" w:eastAsia="Calibri" w:hAnsi="Calibri"/>
                <w:color w:val="2B3736"/>
                <w:sz w:val="19"/>
                <w:szCs w:val="19"/>
              </w:rPr>
              <w:t xml:space="preserve">Land records &amp; cadastral</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34</w:t>
            </w:r>
          </w:p>
        </w:tc>
        <w:tc>
          <w:tcPr>
            <w:tcW w:type="dxa" w:w="3400"/>
            <w:tcMar>
              <w:top w:type="dxa" w:w="50"/>
              <w:left w:type="dxa" w:w="90"/>
              <w:bottom w:type="dxa" w:w="50"/>
              <w:right w:type="dxa" w:w="90"/>
            </w:tcMar>
          </w:tcPr>
          <w:p>
            <w:r>
              <w:rPr>
                <w:rFonts w:ascii="Calibri" w:cs="Calibri" w:eastAsia="Calibri" w:hAnsi="Calibri"/>
                <w:color w:val="2B3736"/>
                <w:sz w:val="19"/>
                <w:szCs w:val="19"/>
              </w:rPr>
              <w:t xml:space="preserve">Environment &amp; pollution</w:t>
            </w:r>
          </w:p>
        </w:tc>
        <w:tc>
          <w:tcPr>
            <w:tcW w:type="dxa" w:w="1280"/>
            <w:tcMar>
              <w:top w:type="dxa" w:w="50"/>
              <w:left w:type="dxa" w:w="90"/>
              <w:bottom w:type="dxa" w:w="50"/>
              <w:right w:type="dxa" w:w="90"/>
            </w:tcMar>
          </w:tcPr>
          <w:p>
            <w:r>
              <w:rPr>
                <w:rFonts w:ascii="Calibri" w:cs="Calibri" w:eastAsia="Calibri" w:hAnsi="Calibri"/>
                <w:color w:val="2B3736"/>
                <w:sz w:val="19"/>
                <w:szCs w:val="19"/>
              </w:rPr>
              <w:t xml:space="preserve">13</w:t>
            </w:r>
          </w:p>
        </w:tc>
      </w:tr>
      <w:tr>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Climate, weather &amp; ocean</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32</w:t>
            </w:r>
          </w:p>
        </w:tc>
        <w:tc>
          <w:tcPr>
            <w:tcW w:type="dxa" w:w="34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Governance, digital &amp; society indices</w:t>
            </w:r>
          </w:p>
        </w:tc>
        <w:tc>
          <w:tcPr>
            <w:tcW w:type="dxa" w:w="128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13</w:t>
            </w:r>
          </w:p>
        </w:tc>
      </w:tr>
    </w:tbl>
    <w:p>
      <w:pPr>
        <w:pStyle w:val="Heading2"/>
        <w:spacing w:after="100" w:before="240"/>
      </w:pPr>
      <w:r>
        <w:rPr>
          <w:rFonts w:ascii="Calibri" w:cs="Calibri" w:eastAsia="Calibri" w:hAnsi="Calibri"/>
          <w:b/>
          <w:bCs/>
          <w:color w:val="2B3736"/>
          <w:sz w:val="25"/>
          <w:szCs w:val="25"/>
        </w:rPr>
        <w:t xml:space="preserve">3.5 Data Type</w:t>
      </w:r>
    </w:p>
    <w:p>
      <w:pPr>
        <w:spacing w:after="120" w:before="0" w:line="276"/>
      </w:pPr>
      <w:r>
        <w:rPr>
          <w:rFonts w:ascii="Calibri" w:cs="Calibri" w:eastAsia="Calibri" w:hAnsi="Calibri"/>
          <w:color w:val="2B3736"/>
          <w:sz w:val="21"/>
          <w:szCs w:val="21"/>
        </w:rPr>
        <w:t xml:space="preserve">Data Type records the form the data takes — for example Vector, Raster, Tabular, or combinations (over 90 fine-grained values in use). Where the source did not state a form, the record reads “Not specified (unverified)” or “Not specified by source (unverified)” rather than a guessed type.</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3500"/>
        <w:gridCol w:w="1200"/>
        <w:gridCol w:w="4660"/>
      </w:tblGrid>
      <w:tr>
        <w:trPr>
          <w:tblHeader/>
        </w:trPr>
        <w:tc>
          <w:tcPr>
            <w:tcW w:type="dxa" w:w="35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Common Data Type</w:t>
            </w:r>
          </w:p>
        </w:tc>
        <w:tc>
          <w:tcPr>
            <w:tcW w:type="dxa" w:w="12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46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Notes</w:t>
            </w:r>
          </w:p>
        </w:tc>
      </w:tr>
      <w:tr>
        <w:tc>
          <w:tcPr>
            <w:tcW w:type="dxa" w:w="3500"/>
            <w:tcMar>
              <w:top w:type="dxa" w:w="50"/>
              <w:left w:type="dxa" w:w="90"/>
              <w:bottom w:type="dxa" w:w="50"/>
              <w:right w:type="dxa" w:w="90"/>
            </w:tcMar>
          </w:tcPr>
          <w:p>
            <w:r>
              <w:rPr>
                <w:rFonts w:ascii="Calibri" w:cs="Calibri" w:eastAsia="Calibri" w:hAnsi="Calibri"/>
                <w:color w:val="2B3736"/>
                <w:sz w:val="19"/>
                <w:szCs w:val="19"/>
              </w:rPr>
              <w:t xml:space="preserve">Vector</w:t>
            </w:r>
          </w:p>
        </w:tc>
        <w:tc>
          <w:tcPr>
            <w:tcW w:type="dxa" w:w="1200"/>
            <w:tcMar>
              <w:top w:type="dxa" w:w="50"/>
              <w:left w:type="dxa" w:w="90"/>
              <w:bottom w:type="dxa" w:w="50"/>
              <w:right w:type="dxa" w:w="90"/>
            </w:tcMar>
          </w:tcPr>
          <w:p>
            <w:r>
              <w:rPr>
                <w:rFonts w:ascii="Calibri" w:cs="Calibri" w:eastAsia="Calibri" w:hAnsi="Calibri"/>
                <w:color w:val="2B3736"/>
                <w:sz w:val="19"/>
                <w:szCs w:val="19"/>
              </w:rPr>
              <w:t xml:space="preserve">99</w:t>
            </w:r>
          </w:p>
        </w:tc>
        <w:tc>
          <w:tcPr>
            <w:tcW w:type="dxa" w:w="4660"/>
            <w:tcMar>
              <w:top w:type="dxa" w:w="50"/>
              <w:left w:type="dxa" w:w="90"/>
              <w:bottom w:type="dxa" w:w="50"/>
              <w:right w:type="dxa" w:w="90"/>
            </w:tcMar>
          </w:tcPr>
          <w:p>
            <w:r>
              <w:rPr>
                <w:rFonts w:ascii="Calibri" w:cs="Calibri" w:eastAsia="Calibri" w:hAnsi="Calibri"/>
                <w:color w:val="2B3736"/>
                <w:sz w:val="19"/>
                <w:szCs w:val="19"/>
              </w:rPr>
              <w:t xml:space="preserve">Points, lines, polygons.</w:t>
            </w:r>
          </w:p>
        </w:tc>
      </w:tr>
      <w:tr>
        <w:tc>
          <w:tcPr>
            <w:tcW w:type="dxa" w:w="3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Not specified (source/unverified)</w:t>
            </w:r>
          </w:p>
        </w:tc>
        <w:tc>
          <w:tcPr>
            <w:tcW w:type="dxa" w:w="12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140</w:t>
            </w:r>
          </w:p>
        </w:tc>
        <w:tc>
          <w:tcPr>
            <w:tcW w:type="dxa" w:w="4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Combined; form not stated by the source.</w:t>
            </w:r>
          </w:p>
        </w:tc>
      </w:tr>
      <w:tr>
        <w:tc>
          <w:tcPr>
            <w:tcW w:type="dxa" w:w="3500"/>
            <w:tcMar>
              <w:top w:type="dxa" w:w="50"/>
              <w:left w:type="dxa" w:w="90"/>
              <w:bottom w:type="dxa" w:w="50"/>
              <w:right w:type="dxa" w:w="90"/>
            </w:tcMar>
          </w:tcPr>
          <w:p>
            <w:r>
              <w:rPr>
                <w:rFonts w:ascii="Calibri" w:cs="Calibri" w:eastAsia="Calibri" w:hAnsi="Calibri"/>
                <w:color w:val="2B3736"/>
                <w:sz w:val="19"/>
                <w:szCs w:val="19"/>
              </w:rPr>
              <w:t xml:space="preserve">Tabular</w:t>
            </w:r>
          </w:p>
        </w:tc>
        <w:tc>
          <w:tcPr>
            <w:tcW w:type="dxa" w:w="1200"/>
            <w:tcMar>
              <w:top w:type="dxa" w:w="50"/>
              <w:left w:type="dxa" w:w="90"/>
              <w:bottom w:type="dxa" w:w="50"/>
              <w:right w:type="dxa" w:w="90"/>
            </w:tcMar>
          </w:tcPr>
          <w:p>
            <w:r>
              <w:rPr>
                <w:rFonts w:ascii="Calibri" w:cs="Calibri" w:eastAsia="Calibri" w:hAnsi="Calibri"/>
                <w:color w:val="2B3736"/>
                <w:sz w:val="19"/>
                <w:szCs w:val="19"/>
              </w:rPr>
              <w:t xml:space="preserve">67</w:t>
            </w:r>
          </w:p>
        </w:tc>
        <w:tc>
          <w:tcPr>
            <w:tcW w:type="dxa" w:w="4660"/>
            <w:tcMar>
              <w:top w:type="dxa" w:w="50"/>
              <w:left w:type="dxa" w:w="90"/>
              <w:bottom w:type="dxa" w:w="50"/>
              <w:right w:type="dxa" w:w="90"/>
            </w:tcMar>
          </w:tcPr>
          <w:p>
            <w:r>
              <w:rPr>
                <w:rFonts w:ascii="Calibri" w:cs="Calibri" w:eastAsia="Calibri" w:hAnsi="Calibri"/>
                <w:color w:val="2B3736"/>
                <w:sz w:val="19"/>
                <w:szCs w:val="19"/>
              </w:rPr>
              <w:t xml:space="preserve">Table / spreadsheet data, sometimes geo-coded.</w:t>
            </w:r>
          </w:p>
        </w:tc>
      </w:tr>
      <w:tr>
        <w:tc>
          <w:tcPr>
            <w:tcW w:type="dxa" w:w="3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Raster + Vector</w:t>
            </w:r>
          </w:p>
        </w:tc>
        <w:tc>
          <w:tcPr>
            <w:tcW w:type="dxa" w:w="12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35</w:t>
            </w:r>
          </w:p>
        </w:tc>
        <w:tc>
          <w:tcPr>
            <w:tcW w:type="dxa" w:w="4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Mixed raster and vector holdings.</w:t>
            </w:r>
          </w:p>
        </w:tc>
      </w:tr>
      <w:tr>
        <w:tc>
          <w:tcPr>
            <w:tcW w:type="dxa" w:w="3500"/>
            <w:tcMar>
              <w:top w:type="dxa" w:w="50"/>
              <w:left w:type="dxa" w:w="90"/>
              <w:bottom w:type="dxa" w:w="50"/>
              <w:right w:type="dxa" w:w="90"/>
            </w:tcMar>
          </w:tcPr>
          <w:p>
            <w:r>
              <w:rPr>
                <w:rFonts w:ascii="Calibri" w:cs="Calibri" w:eastAsia="Calibri" w:hAnsi="Calibri"/>
                <w:color w:val="2B3736"/>
                <w:sz w:val="19"/>
                <w:szCs w:val="19"/>
              </w:rPr>
              <w:t xml:space="preserve">Raster + Vector (WebGIS viewer)</w:t>
            </w:r>
          </w:p>
        </w:tc>
        <w:tc>
          <w:tcPr>
            <w:tcW w:type="dxa" w:w="1200"/>
            <w:tcMar>
              <w:top w:type="dxa" w:w="50"/>
              <w:left w:type="dxa" w:w="90"/>
              <w:bottom w:type="dxa" w:w="50"/>
              <w:right w:type="dxa" w:w="90"/>
            </w:tcMar>
          </w:tcPr>
          <w:p>
            <w:r>
              <w:rPr>
                <w:rFonts w:ascii="Calibri" w:cs="Calibri" w:eastAsia="Calibri" w:hAnsi="Calibri"/>
                <w:color w:val="2B3736"/>
                <w:sz w:val="19"/>
                <w:szCs w:val="19"/>
              </w:rPr>
              <w:t xml:space="preserve">31</w:t>
            </w:r>
          </w:p>
        </w:tc>
        <w:tc>
          <w:tcPr>
            <w:tcW w:type="dxa" w:w="4660"/>
            <w:tcMar>
              <w:top w:type="dxa" w:w="50"/>
              <w:left w:type="dxa" w:w="90"/>
              <w:bottom w:type="dxa" w:w="50"/>
              <w:right w:type="dxa" w:w="90"/>
            </w:tcMar>
          </w:tcPr>
          <w:p>
            <w:r>
              <w:rPr>
                <w:rFonts w:ascii="Calibri" w:cs="Calibri" w:eastAsia="Calibri" w:hAnsi="Calibri"/>
                <w:color w:val="2B3736"/>
                <w:sz w:val="19"/>
                <w:szCs w:val="19"/>
              </w:rPr>
              <w:t xml:space="preserve">Served through an interactive map viewer.</w:t>
            </w:r>
          </w:p>
        </w:tc>
      </w:tr>
      <w:tr>
        <w:tc>
          <w:tcPr>
            <w:tcW w:type="dxa" w:w="3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Raster</w:t>
            </w:r>
          </w:p>
        </w:tc>
        <w:tc>
          <w:tcPr>
            <w:tcW w:type="dxa" w:w="12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22</w:t>
            </w:r>
          </w:p>
        </w:tc>
        <w:tc>
          <w:tcPr>
            <w:tcW w:type="dxa" w:w="4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Gridded / imagery.</w:t>
            </w:r>
          </w:p>
        </w:tc>
      </w:tr>
    </w:tbl>
    <w:p>
      <w:pPr>
        <w:spacing w:after="120" w:before="20" w:line="276"/>
      </w:pPr>
      <w:r>
        <w:rPr>
          <w:rFonts w:ascii="Calibri" w:cs="Calibri" w:eastAsia="Calibri" w:hAnsi="Calibri"/>
          <w:i/>
          <w:iCs/>
          <w:color w:val="5E5349"/>
          <w:sz w:val="21"/>
          <w:szCs w:val="21"/>
        </w:rPr>
        <w:t xml:space="preserve">Full form values are shown on each record; the table above lists the most common only.</w:t>
      </w:r>
    </w:p>
    <w:p>
      <w:pPr>
        <w:pStyle w:val="Heading2"/>
        <w:spacing w:after="100" w:before="240"/>
      </w:pPr>
      <w:r>
        <w:rPr>
          <w:rFonts w:ascii="Calibri" w:cs="Calibri" w:eastAsia="Calibri" w:hAnsi="Calibri"/>
          <w:b/>
          <w:bCs/>
          <w:color w:val="2B3736"/>
          <w:sz w:val="25"/>
          <w:szCs w:val="25"/>
        </w:rPr>
        <w:t xml:space="preserve">3.6 Access Tier</w:t>
      </w:r>
    </w:p>
    <w:p>
      <w:pPr>
        <w:spacing w:after="120" w:before="0" w:line="276"/>
      </w:pPr>
      <w:r>
        <w:rPr>
          <w:rFonts w:ascii="Calibri" w:cs="Calibri" w:eastAsia="Calibri" w:hAnsi="Calibri"/>
          <w:color w:val="2B3736"/>
          <w:sz w:val="21"/>
          <w:szCs w:val="21"/>
        </w:rPr>
        <w:t xml:space="preserve">Access Tier is the </w:t>
      </w:r>
      <w:r>
        <w:rPr>
          <w:rFonts w:ascii="Calibri" w:cs="Calibri" w:eastAsia="Calibri" w:hAnsi="Calibri"/>
          <w:b/>
          <w:bCs/>
          <w:color w:val="2B3736"/>
          <w:sz w:val="21"/>
          <w:szCs w:val="21"/>
        </w:rPr>
        <w:t xml:space="preserve">practical gate you hit</w:t>
      </w:r>
      <w:r>
        <w:rPr>
          <w:rFonts w:ascii="Calibri" w:cs="Calibri" w:eastAsia="Calibri" w:hAnsi="Calibri"/>
          <w:color w:val="2B3736"/>
          <w:sz w:val="21"/>
          <w:szCs w:val="21"/>
        </w:rPr>
        <w:t xml:space="preserve"> when you try to get the data. It is a fixed set of six values.</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600"/>
        <w:gridCol w:w="1100"/>
        <w:gridCol w:w="5660"/>
      </w:tblGrid>
      <w:tr>
        <w:trPr>
          <w:tblHeader/>
        </w:trPr>
        <w:tc>
          <w:tcPr>
            <w:tcW w:type="dxa" w:w="26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Access Tier</w:t>
            </w:r>
          </w:p>
        </w:tc>
        <w:tc>
          <w:tcPr>
            <w:tcW w:type="dxa" w:w="11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56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What it means</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Open / Free</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392</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Freely downloadable, no registration barrier.</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Mixed</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110</w:t>
            </w:r>
          </w:p>
        </w:tc>
        <w:tc>
          <w:tcPr>
            <w:tcW w:type="dxa" w:w="5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Some holdings open, others gated or paid.</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Paid</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41</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Priced / commercial access.</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Free (Restricted)</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31</w:t>
            </w:r>
          </w:p>
        </w:tc>
        <w:tc>
          <w:tcPr>
            <w:tcW w:type="dxa" w:w="5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Free but behind login, application or credentials.</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Free (Academic)</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6</w:t>
            </w:r>
          </w:p>
        </w:tc>
        <w:tc>
          <w:tcPr>
            <w:tcW w:type="dxa" w:w="5660"/>
            <w:tcMar>
              <w:top w:type="dxa" w:w="50"/>
              <w:left w:type="dxa" w:w="90"/>
              <w:bottom w:type="dxa" w:w="50"/>
              <w:right w:type="dxa" w:w="90"/>
            </w:tcMar>
          </w:tcPr>
          <w:p>
            <w:r>
              <w:rPr>
                <w:rFonts w:ascii="Calibri" w:cs="Calibri" w:eastAsia="Calibri" w:hAnsi="Calibri"/>
                <w:color w:val="2B3736"/>
                <w:sz w:val="19"/>
                <w:szCs w:val="19"/>
              </w:rPr>
              <w:t xml:space="preserve">Free for academic / research use.</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Not specified</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4</w:t>
            </w:r>
          </w:p>
        </w:tc>
        <w:tc>
          <w:tcPr>
            <w:tcW w:type="dxa" w:w="56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Access terms not stated by the source.</w:t>
            </w:r>
          </w:p>
        </w:tc>
      </w:tr>
    </w:tbl>
    <w:p>
      <w:pPr>
        <w:pStyle w:val="Heading2"/>
        <w:spacing w:after="100" w:before="240"/>
      </w:pPr>
      <w:r>
        <w:rPr>
          <w:rFonts w:ascii="Calibri" w:cs="Calibri" w:eastAsia="Calibri" w:hAnsi="Calibri"/>
          <w:b/>
          <w:bCs/>
          <w:color w:val="2B3736"/>
          <w:sz w:val="25"/>
          <w:szCs w:val="25"/>
        </w:rPr>
        <w:t xml:space="preserve">3.7 Licence Category</w:t>
      </w:r>
    </w:p>
    <w:p>
      <w:pPr>
        <w:spacing w:after="120" w:before="0" w:line="276"/>
      </w:pPr>
      <w:r>
        <w:rPr>
          <w:rFonts w:ascii="Calibri" w:cs="Calibri" w:eastAsia="Calibri" w:hAnsi="Calibri"/>
          <w:color w:val="2B3736"/>
          <w:sz w:val="21"/>
          <w:szCs w:val="21"/>
        </w:rPr>
        <w:t xml:space="preserve">Licence Category is the </w:t>
      </w:r>
      <w:r>
        <w:rPr>
          <w:rFonts w:ascii="Calibri" w:cs="Calibri" w:eastAsia="Calibri" w:hAnsi="Calibri"/>
          <w:b/>
          <w:bCs/>
          <w:color w:val="2B3736"/>
          <w:sz w:val="21"/>
          <w:szCs w:val="21"/>
        </w:rPr>
        <w:t xml:space="preserve">legal terms</w:t>
      </w:r>
      <w:r>
        <w:rPr>
          <w:rFonts w:ascii="Calibri" w:cs="Calibri" w:eastAsia="Calibri" w:hAnsi="Calibri"/>
          <w:color w:val="2B3736"/>
          <w:sz w:val="21"/>
          <w:szCs w:val="21"/>
        </w:rPr>
        <w:t xml:space="preserve">, auto-classified from the source’s own licence text by a fixed set of pattern rules — not judged case by case. Where the text is thin or absent the record reads “Unclassified”. This is a classification aid, never licence clearance.</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500"/>
        <w:gridCol w:w="1000"/>
        <w:gridCol w:w="5860"/>
      </w:tblGrid>
      <w:tr>
        <w:trPr>
          <w:tblHeader/>
        </w:trPr>
        <w:tc>
          <w:tcPr>
            <w:tcW w:type="dxa" w:w="25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Licence Category</w:t>
            </w:r>
          </w:p>
        </w:tc>
        <w:tc>
          <w:tcPr>
            <w:tcW w:type="dxa" w:w="10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58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Assigned when the licence text indicates…</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GODL / NDSAP</w:t>
            </w:r>
          </w:p>
        </w:tc>
        <w:tc>
          <w:tcPr>
            <w:tcW w:type="dxa" w:w="1000"/>
            <w:tcMar>
              <w:top w:type="dxa" w:w="50"/>
              <w:left w:type="dxa" w:w="90"/>
              <w:bottom w:type="dxa" w:w="50"/>
              <w:right w:type="dxa" w:w="90"/>
            </w:tcMar>
          </w:tcPr>
          <w:p>
            <w:r>
              <w:rPr>
                <w:rFonts w:ascii="Calibri" w:cs="Calibri" w:eastAsia="Calibri" w:hAnsi="Calibri"/>
                <w:color w:val="2B3736"/>
                <w:sz w:val="19"/>
                <w:szCs w:val="19"/>
              </w:rPr>
              <w:t xml:space="preserve">208</w:t>
            </w:r>
          </w:p>
        </w:tc>
        <w:tc>
          <w:tcPr>
            <w:tcW w:type="dxa" w:w="5860"/>
            <w:tcMar>
              <w:top w:type="dxa" w:w="50"/>
              <w:left w:type="dxa" w:w="90"/>
              <w:bottom w:type="dxa" w:w="50"/>
              <w:right w:type="dxa" w:w="90"/>
            </w:tcMar>
          </w:tcPr>
          <w:p>
            <w:r>
              <w:rPr>
                <w:rFonts w:ascii="Calibri" w:cs="Calibri" w:eastAsia="Calibri" w:hAnsi="Calibri"/>
                <w:color w:val="2B3736"/>
                <w:sz w:val="19"/>
                <w:szCs w:val="19"/>
              </w:rPr>
              <w:t xml:space="preserve">Government Open Data Licence / NDSAP / Government of India open data.</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Unclassified</w:t>
            </w:r>
          </w:p>
        </w:tc>
        <w:tc>
          <w:tcPr>
            <w:tcW w:type="dxa" w:w="10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96</w:t>
            </w:r>
          </w:p>
        </w:tc>
        <w:tc>
          <w:tcPr>
            <w:tcW w:type="dxa" w:w="58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No usable licence text (kept honest rather than guessed).</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State Government</w:t>
            </w:r>
          </w:p>
        </w:tc>
        <w:tc>
          <w:tcPr>
            <w:tcW w:type="dxa" w:w="1000"/>
            <w:tcMar>
              <w:top w:type="dxa" w:w="50"/>
              <w:left w:type="dxa" w:w="90"/>
              <w:bottom w:type="dxa" w:w="50"/>
              <w:right w:type="dxa" w:w="90"/>
            </w:tcMar>
          </w:tcPr>
          <w:p>
            <w:r>
              <w:rPr>
                <w:rFonts w:ascii="Calibri" w:cs="Calibri" w:eastAsia="Calibri" w:hAnsi="Calibri"/>
                <w:color w:val="2B3736"/>
                <w:sz w:val="19"/>
                <w:szCs w:val="19"/>
              </w:rPr>
              <w:t xml:space="preserve">86</w:t>
            </w:r>
          </w:p>
        </w:tc>
        <w:tc>
          <w:tcPr>
            <w:tcW w:type="dxa" w:w="5860"/>
            <w:tcMar>
              <w:top w:type="dxa" w:w="50"/>
              <w:left w:type="dxa" w:w="90"/>
              <w:bottom w:type="dxa" w:w="50"/>
              <w:right w:type="dxa" w:w="90"/>
            </w:tcMar>
          </w:tcPr>
          <w:p>
            <w:r>
              <w:rPr>
                <w:rFonts w:ascii="Calibri" w:cs="Calibri" w:eastAsia="Calibri" w:hAnsi="Calibri"/>
                <w:color w:val="2B3736"/>
                <w:sz w:val="19"/>
                <w:szCs w:val="19"/>
              </w:rPr>
              <w:t xml:space="preserve">A state-government licence.</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Institutional / Other</w:t>
            </w:r>
          </w:p>
        </w:tc>
        <w:tc>
          <w:tcPr>
            <w:tcW w:type="dxa" w:w="10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69</w:t>
            </w:r>
          </w:p>
        </w:tc>
        <w:tc>
          <w:tcPr>
            <w:tcW w:type="dxa" w:w="58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University, research, NGO, academic or scientific terms.</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Commercial</w:t>
            </w:r>
          </w:p>
        </w:tc>
        <w:tc>
          <w:tcPr>
            <w:tcW w:type="dxa" w:w="1000"/>
            <w:tcMar>
              <w:top w:type="dxa" w:w="50"/>
              <w:left w:type="dxa" w:w="90"/>
              <w:bottom w:type="dxa" w:w="50"/>
              <w:right w:type="dxa" w:w="90"/>
            </w:tcMar>
          </w:tcPr>
          <w:p>
            <w:r>
              <w:rPr>
                <w:rFonts w:ascii="Calibri" w:cs="Calibri" w:eastAsia="Calibri" w:hAnsi="Calibri"/>
                <w:color w:val="2B3736"/>
                <w:sz w:val="19"/>
                <w:szCs w:val="19"/>
              </w:rPr>
              <w:t xml:space="preserve">46</w:t>
            </w:r>
          </w:p>
        </w:tc>
        <w:tc>
          <w:tcPr>
            <w:tcW w:type="dxa" w:w="5860"/>
            <w:tcMar>
              <w:top w:type="dxa" w:w="50"/>
              <w:left w:type="dxa" w:w="90"/>
              <w:bottom w:type="dxa" w:w="50"/>
              <w:right w:type="dxa" w:w="90"/>
            </w:tcMar>
          </w:tcPr>
          <w:p>
            <w:r>
              <w:rPr>
                <w:rFonts w:ascii="Calibri" w:cs="Calibri" w:eastAsia="Calibri" w:hAnsi="Calibri"/>
                <w:color w:val="2B3736"/>
                <w:sz w:val="19"/>
                <w:szCs w:val="19"/>
              </w:rPr>
              <w:t xml:space="preserve">Commercial / licensed / subscription / EULA / proprietary.</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Creative Commons</w:t>
            </w:r>
          </w:p>
        </w:tc>
        <w:tc>
          <w:tcPr>
            <w:tcW w:type="dxa" w:w="10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45</w:t>
            </w:r>
          </w:p>
        </w:tc>
        <w:tc>
          <w:tcPr>
            <w:tcW w:type="dxa" w:w="58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CC-BY, CC0 or another Creative Commons licence.</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Municipal</w:t>
            </w:r>
          </w:p>
        </w:tc>
        <w:tc>
          <w:tcPr>
            <w:tcW w:type="dxa" w:w="1000"/>
            <w:tcMar>
              <w:top w:type="dxa" w:w="50"/>
              <w:left w:type="dxa" w:w="90"/>
              <w:bottom w:type="dxa" w:w="50"/>
              <w:right w:type="dxa" w:w="90"/>
            </w:tcMar>
          </w:tcPr>
          <w:p>
            <w:r>
              <w:rPr>
                <w:rFonts w:ascii="Calibri" w:cs="Calibri" w:eastAsia="Calibri" w:hAnsi="Calibri"/>
                <w:color w:val="2B3736"/>
                <w:sz w:val="19"/>
                <w:szCs w:val="19"/>
              </w:rPr>
              <w:t xml:space="preserve">21</w:t>
            </w:r>
          </w:p>
        </w:tc>
        <w:tc>
          <w:tcPr>
            <w:tcW w:type="dxa" w:w="5860"/>
            <w:tcMar>
              <w:top w:type="dxa" w:w="50"/>
              <w:left w:type="dxa" w:w="90"/>
              <w:bottom w:type="dxa" w:w="50"/>
              <w:right w:type="dxa" w:w="90"/>
            </w:tcMar>
          </w:tcPr>
          <w:p>
            <w:r>
              <w:rPr>
                <w:rFonts w:ascii="Calibri" w:cs="Calibri" w:eastAsia="Calibri" w:hAnsi="Calibri"/>
                <w:color w:val="2B3736"/>
                <w:sz w:val="19"/>
                <w:szCs w:val="19"/>
              </w:rPr>
              <w:t xml:space="preserve">A municipal / corporation / civic licence.</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ISRO / Space Policy</w:t>
            </w:r>
          </w:p>
        </w:tc>
        <w:tc>
          <w:tcPr>
            <w:tcW w:type="dxa" w:w="10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6</w:t>
            </w:r>
          </w:p>
        </w:tc>
        <w:tc>
          <w:tcPr>
            <w:tcW w:type="dxa" w:w="58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ISRO / space-policy / Antrix terms.</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ODbL</w:t>
            </w:r>
          </w:p>
        </w:tc>
        <w:tc>
          <w:tcPr>
            <w:tcW w:type="dxa" w:w="1000"/>
            <w:tcMar>
              <w:top w:type="dxa" w:w="50"/>
              <w:left w:type="dxa" w:w="90"/>
              <w:bottom w:type="dxa" w:w="50"/>
              <w:right w:type="dxa" w:w="90"/>
            </w:tcMar>
          </w:tcPr>
          <w:p>
            <w:r>
              <w:rPr>
                <w:rFonts w:ascii="Calibri" w:cs="Calibri" w:eastAsia="Calibri" w:hAnsi="Calibri"/>
                <w:color w:val="2B3736"/>
                <w:sz w:val="19"/>
                <w:szCs w:val="19"/>
              </w:rPr>
              <w:t xml:space="preserve">5</w:t>
            </w:r>
          </w:p>
        </w:tc>
        <w:tc>
          <w:tcPr>
            <w:tcW w:type="dxa" w:w="5860"/>
            <w:tcMar>
              <w:top w:type="dxa" w:w="50"/>
              <w:left w:type="dxa" w:w="90"/>
              <w:bottom w:type="dxa" w:w="50"/>
              <w:right w:type="dxa" w:w="90"/>
            </w:tcMar>
          </w:tcPr>
          <w:p>
            <w:r>
              <w:rPr>
                <w:rFonts w:ascii="Calibri" w:cs="Calibri" w:eastAsia="Calibri" w:hAnsi="Calibri"/>
                <w:color w:val="2B3736"/>
                <w:sz w:val="19"/>
                <w:szCs w:val="19"/>
              </w:rPr>
              <w:t xml:space="preserve">Open Database Licence.</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Unverified</w:t>
            </w:r>
          </w:p>
        </w:tc>
        <w:tc>
          <w:tcPr>
            <w:tcW w:type="dxa" w:w="10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2</w:t>
            </w:r>
          </w:p>
        </w:tc>
        <w:tc>
          <w:tcPr>
            <w:tcW w:type="dxa" w:w="58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The source’s own note flags the licence as unverified.</w:t>
            </w:r>
          </w:p>
        </w:tc>
      </w:tr>
    </w:tbl>
    <w:p>
      <w:pPr>
        <w:pStyle w:val="Heading2"/>
        <w:spacing w:after="100" w:before="240"/>
      </w:pPr>
      <w:r>
        <w:rPr>
          <w:rFonts w:ascii="Calibri" w:cs="Calibri" w:eastAsia="Calibri" w:hAnsi="Calibri"/>
          <w:b/>
          <w:bCs/>
          <w:color w:val="2B3736"/>
          <w:sz w:val="25"/>
          <w:szCs w:val="25"/>
        </w:rPr>
        <w:t xml:space="preserve">3.8 Timeframe / Recency</w:t>
      </w:r>
    </w:p>
    <w:p>
      <w:pPr>
        <w:spacing w:after="120" w:before="0" w:line="276"/>
      </w:pPr>
      <w:r>
        <w:rPr>
          <w:rFonts w:ascii="Calibri" w:cs="Calibri" w:eastAsia="Calibri" w:hAnsi="Calibri"/>
          <w:color w:val="2B3736"/>
          <w:sz w:val="21"/>
          <w:szCs w:val="21"/>
        </w:rPr>
        <w:t xml:space="preserve">Timeframe records how current or how frequently updated the data is (for example Real-time / Live, Continuously updated, or a stated period). It feeds the “Data recency” parameter of the assessment (section 5). Where the source did not state a cadence, the record reads “Not specified” and is excluded from that part of the score rather than assumed.</w:t>
      </w:r>
    </w:p>
    <w:p>
      <w:pPr>
        <w:pStyle w:val="Heading1"/>
        <w:spacing w:after="140" w:before="320"/>
      </w:pPr>
      <w:r>
        <w:rPr>
          <w:rFonts w:ascii="Calibri" w:cs="Calibri" w:eastAsia="Calibri" w:hAnsi="Calibri"/>
          <w:b/>
          <w:bCs/>
          <w:color w:val="620D3C"/>
          <w:sz w:val="30"/>
          <w:szCs w:val="30"/>
        </w:rPr>
        <w:t xml:space="preserve">4. Confidence &amp; link-verification model</w:t>
      </w:r>
    </w:p>
    <w:p>
      <w:pPr>
        <w:spacing w:after="120" w:before="0" w:line="276"/>
      </w:pPr>
      <w:r>
        <w:rPr>
          <w:rFonts w:ascii="Calibri" w:cs="Calibri" w:eastAsia="Calibri" w:hAnsi="Calibri"/>
          <w:color w:val="2B3736"/>
          <w:sz w:val="21"/>
          <w:szCs w:val="21"/>
        </w:rPr>
        <w:t xml:space="preserve">This is the most important section for judging how far any single link has been checked. Two user-facing confidence labels sit on top of a strict, computed rule.</w:t>
      </w:r>
    </w:p>
    <w:p>
      <w:pPr>
        <w:pStyle w:val="Heading2"/>
        <w:spacing w:after="100" w:before="240"/>
      </w:pPr>
      <w:r>
        <w:rPr>
          <w:rFonts w:ascii="Calibri" w:cs="Calibri" w:eastAsia="Calibri" w:hAnsi="Calibri"/>
          <w:b/>
          <w:bCs/>
          <w:color w:val="2B3736"/>
          <w:sz w:val="25"/>
          <w:szCs w:val="25"/>
        </w:rPr>
        <w:t xml:space="preserve">4.1 The two confidence labels</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1900"/>
        <w:gridCol w:w="1500"/>
        <w:gridCol w:w="5960"/>
      </w:tblGrid>
      <w:tr>
        <w:trPr>
          <w:tblHeader/>
        </w:trPr>
        <w:tc>
          <w:tcPr>
            <w:tcW w:type="dxa" w:w="19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Label (user)</w:t>
            </w:r>
          </w:p>
        </w:tc>
        <w:tc>
          <w:tcPr>
            <w:tcW w:type="dxa" w:w="15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Internal name</w:t>
            </w:r>
          </w:p>
        </w:tc>
        <w:tc>
          <w:tcPr>
            <w:tcW w:type="dxa" w:w="59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Meaning</w:t>
            </w:r>
          </w:p>
        </w:tc>
      </w:tr>
      <w:tr>
        <w:tc>
          <w:tcPr>
            <w:tcW w:type="dxa" w:w="1900"/>
            <w:tcMar>
              <w:top w:type="dxa" w:w="50"/>
              <w:left w:type="dxa" w:w="90"/>
              <w:bottom w:type="dxa" w:w="50"/>
              <w:right w:type="dxa" w:w="90"/>
            </w:tcMar>
          </w:tcPr>
          <w:p>
            <w:r>
              <w:rPr>
                <w:rFonts w:ascii="Calibri" w:cs="Calibri" w:eastAsia="Calibri" w:hAnsi="Calibri"/>
                <w:color w:val="2B3736"/>
                <w:sz w:val="19"/>
                <w:szCs w:val="19"/>
              </w:rPr>
              <w:t xml:space="preserve">Direct link</w:t>
            </w:r>
          </w:p>
        </w:tc>
        <w:tc>
          <w:tcPr>
            <w:tcW w:type="dxa" w:w="1500"/>
            <w:tcMar>
              <w:top w:type="dxa" w:w="50"/>
              <w:left w:type="dxa" w:w="90"/>
              <w:bottom w:type="dxa" w:w="50"/>
              <w:right w:type="dxa" w:w="90"/>
            </w:tcMar>
          </w:tcPr>
          <w:p>
            <w:r>
              <w:rPr>
                <w:rFonts w:ascii="Calibri" w:cs="Calibri" w:eastAsia="Calibri" w:hAnsi="Calibri"/>
                <w:color w:val="2B3736"/>
                <w:sz w:val="19"/>
                <w:szCs w:val="19"/>
              </w:rPr>
              <w:t xml:space="preserve">Verified</w:t>
            </w:r>
          </w:p>
        </w:tc>
        <w:tc>
          <w:tcPr>
            <w:tcW w:type="dxa" w:w="5960"/>
            <w:tcMar>
              <w:top w:type="dxa" w:w="50"/>
              <w:left w:type="dxa" w:w="90"/>
              <w:bottom w:type="dxa" w:w="50"/>
              <w:right w:type="dxa" w:w="90"/>
            </w:tcMar>
          </w:tcPr>
          <w:p>
            <w:r>
              <w:rPr>
                <w:rFonts w:ascii="Calibri" w:cs="Calibri" w:eastAsia="Calibri" w:hAnsi="Calibri"/>
                <w:color w:val="2B3736"/>
                <w:sz w:val="19"/>
                <w:szCs w:val="19"/>
              </w:rPr>
              <w:t xml:space="preserve">Opens this dataset or layer directly; a human opened the URL this session and confirmed it shows the described dataset.</w:t>
            </w:r>
          </w:p>
        </w:tc>
      </w:tr>
      <w:tr>
        <w:tc>
          <w:tcPr>
            <w:tcW w:type="dxa" w:w="19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Portal</w:t>
            </w:r>
          </w:p>
        </w:tc>
        <w:tc>
          <w:tcPr>
            <w:tcW w:type="dxa" w:w="1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Representative</w:t>
            </w:r>
          </w:p>
        </w:tc>
        <w:tc>
          <w:tcPr>
            <w:tcW w:type="dxa" w:w="59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Opens the agency’s site — further navigation is required to reach the dataset. This is the default, expected state for most records, not a quality deficiency.</w:t>
            </w:r>
          </w:p>
        </w:tc>
      </w:tr>
    </w:tbl>
    <w:p>
      <w:pPr>
        <w:pStyle w:val="Heading2"/>
        <w:spacing w:after="100" w:before="240"/>
      </w:pPr>
      <w:r>
        <w:rPr>
          <w:rFonts w:ascii="Calibri" w:cs="Calibri" w:eastAsia="Calibri" w:hAnsi="Calibri"/>
          <w:b/>
          <w:bCs/>
          <w:color w:val="2B3736"/>
          <w:sz w:val="25"/>
          <w:szCs w:val="25"/>
        </w:rPr>
        <w:t xml:space="preserve">4.2 How confidence is derived (computed at page load)</w:t>
      </w:r>
    </w:p>
    <w:p>
      <w:pPr>
        <w:spacing w:after="120" w:before="0" w:line="276"/>
      </w:pPr>
      <w:r>
        <w:rPr>
          <w:rFonts w:ascii="Calibri" w:cs="Calibri" w:eastAsia="Calibri" w:hAnsi="Calibri"/>
          <w:color w:val="2B3736"/>
          <w:sz w:val="21"/>
          <w:szCs w:val="21"/>
        </w:rPr>
        <w:t xml:space="preserve">The label is not taken from the source on trust. It is recomputed every time the page loads from two independent signals, and can only ever be lowered by them — never raised.</w:t>
      </w:r>
    </w:p>
    <w:p>
      <w:pPr>
        <w:spacing w:after="120" w:before="0" w:line="276"/>
      </w:pPr>
      <w:r>
        <w:rPr>
          <w:rFonts w:ascii="Calibri" w:cs="Calibri" w:eastAsia="Calibri" w:hAnsi="Calibri"/>
          <w:b/>
          <w:bCs/>
          <w:color w:val="2B3736"/>
          <w:sz w:val="21"/>
          <w:szCs w:val="21"/>
        </w:rPr>
        <w:t xml:space="preserve">Signal 1 — Link specificity</w:t>
      </w:r>
      <w:r>
        <w:rPr>
          <w:rFonts w:ascii="Calibri" w:cs="Calibri" w:eastAsia="Calibri" w:hAnsi="Calibri"/>
          <w:color w:val="2B3736"/>
          <w:sz w:val="21"/>
          <w:szCs w:val="21"/>
        </w:rPr>
        <w:t xml:space="preserve"> (from the URL itself):</w:t>
      </w:r>
    </w:p>
    <w:p>
      <w:pPr>
        <w:pStyle w:val="ListParagraph"/>
        <w:numPr>
          <w:ilvl w:val="0"/>
          <w:numId w:val="2"/>
        </w:numPr>
        <w:spacing w:after="70" w:line="270"/>
      </w:pPr>
      <w:r>
        <w:rPr>
          <w:rFonts w:ascii="Calibri" w:cs="Calibri" w:eastAsia="Calibri" w:hAnsi="Calibri"/>
          <w:color w:val="2B3736"/>
          <w:sz w:val="21"/>
          <w:szCs w:val="21"/>
        </w:rPr>
        <w:t xml:space="preserve">Dataset — a unique, path-bearing URL not shared with any other record.</w:t>
      </w:r>
    </w:p>
    <w:p>
      <w:pPr>
        <w:pStyle w:val="ListParagraph"/>
        <w:numPr>
          <w:ilvl w:val="0"/>
          <w:numId w:val="2"/>
        </w:numPr>
        <w:spacing w:after="70" w:line="270"/>
      </w:pPr>
      <w:r>
        <w:rPr>
          <w:rFonts w:ascii="Calibri" w:cs="Calibri" w:eastAsia="Calibri" w:hAnsi="Calibri"/>
          <w:color w:val="2B3736"/>
          <w:sz w:val="21"/>
          <w:szCs w:val="21"/>
        </w:rPr>
        <w:t xml:space="preserve">Section — the URL has a path, but the same URL is reused by another record.</w:t>
      </w:r>
    </w:p>
    <w:p>
      <w:pPr>
        <w:pStyle w:val="ListParagraph"/>
        <w:numPr>
          <w:ilvl w:val="0"/>
          <w:numId w:val="2"/>
        </w:numPr>
        <w:spacing w:after="70" w:line="270"/>
      </w:pPr>
      <w:r>
        <w:rPr>
          <w:rFonts w:ascii="Calibri" w:cs="Calibri" w:eastAsia="Calibri" w:hAnsi="Calibri"/>
          <w:color w:val="2B3736"/>
          <w:sz w:val="21"/>
          <w:szCs w:val="21"/>
        </w:rPr>
        <w:t xml:space="preserve">Portal — a bare domain with no path.</w:t>
      </w:r>
    </w:p>
    <w:p>
      <w:pPr>
        <w:spacing w:after="120" w:before="0" w:line="276"/>
      </w:pPr>
      <w:r>
        <w:rPr>
          <w:rFonts w:ascii="Calibri" w:cs="Calibri" w:eastAsia="Calibri" w:hAnsi="Calibri"/>
          <w:b/>
          <w:bCs/>
          <w:color w:val="2B3736"/>
          <w:sz w:val="21"/>
          <w:szCs w:val="21"/>
        </w:rPr>
        <w:t xml:space="preserve">Signal 2 — Link verification</w:t>
      </w:r>
      <w:r>
        <w:rPr>
          <w:rFonts w:ascii="Calibri" w:cs="Calibri" w:eastAsia="Calibri" w:hAnsi="Calibri"/>
          <w:color w:val="2B3736"/>
          <w:sz w:val="21"/>
          <w:szCs w:val="21"/>
        </w:rPr>
        <w:t xml:space="preserve"> (from the link check; see 4.3).</w:t>
      </w:r>
    </w:p>
    <w:p>
      <w:pPr>
        <w:spacing w:after="120" w:before="0" w:line="276"/>
      </w:pPr>
      <w:r>
        <w:rPr>
          <w:rFonts w:ascii="Calibri" w:cs="Calibri" w:eastAsia="Calibri" w:hAnsi="Calibri"/>
          <w:b/>
          <w:bCs/>
          <w:color w:val="2B3736"/>
          <w:sz w:val="21"/>
          <w:szCs w:val="21"/>
        </w:rPr>
        <w:t xml:space="preserve">The rule.</w:t>
      </w:r>
      <w:r>
        <w:rPr>
          <w:rFonts w:ascii="Calibri" w:cs="Calibri" w:eastAsia="Calibri" w:hAnsi="Calibri"/>
          <w:color w:val="2B3736"/>
          <w:sz w:val="21"/>
          <w:szCs w:val="21"/>
        </w:rPr>
        <w:t xml:space="preserve"> A record displays as </w:t>
      </w:r>
      <w:r>
        <w:rPr>
          <w:rFonts w:ascii="Calibri" w:cs="Calibri" w:eastAsia="Calibri" w:hAnsi="Calibri"/>
          <w:b/>
          <w:bCs/>
          <w:color w:val="2B3736"/>
          <w:sz w:val="21"/>
          <w:szCs w:val="21"/>
        </w:rPr>
        <w:t xml:space="preserve">Direct link (Verified)</w:t>
      </w:r>
      <w:r>
        <w:rPr>
          <w:rFonts w:ascii="Calibri" w:cs="Calibri" w:eastAsia="Calibri" w:hAnsi="Calibri"/>
          <w:color w:val="2B3736"/>
          <w:sz w:val="21"/>
          <w:szCs w:val="21"/>
        </w:rPr>
        <w:t xml:space="preserve"> only when ALL THREE hold: it was marked Verified in the source data, its URL is dataset-specific, and its link has actually been checked. If any one fails, it displays as </w:t>
      </w:r>
      <w:r>
        <w:rPr>
          <w:rFonts w:ascii="Calibri" w:cs="Calibri" w:eastAsia="Calibri" w:hAnsi="Calibri"/>
          <w:b/>
          <w:bCs/>
          <w:color w:val="2B3736"/>
          <w:sz w:val="21"/>
          <w:szCs w:val="21"/>
        </w:rPr>
        <w:t xml:space="preserve">Portal (Representative)</w:t>
      </w:r>
      <w:r>
        <w:rPr>
          <w:rFonts w:ascii="Calibri" w:cs="Calibri" w:eastAsia="Calibri" w:hAnsi="Calibri"/>
          <w:color w:val="2B3736"/>
          <w:sz w:val="21"/>
          <w:szCs w:val="21"/>
        </w:rPr>
        <w:t xml:space="preserve">. A boot-time integrity check confirms no Verified record remains on a shared or bare-domain URL.</w:t>
      </w:r>
    </w:p>
    <w:p>
      <w:pPr>
        <w:pStyle w:val="Heading2"/>
        <w:spacing w:after="100" w:before="240"/>
      </w:pPr>
      <w:r>
        <w:rPr>
          <w:rFonts w:ascii="Calibri" w:cs="Calibri" w:eastAsia="Calibri" w:hAnsi="Calibri"/>
          <w:b/>
          <w:bCs/>
          <w:color w:val="2B3736"/>
          <w:sz w:val="25"/>
          <w:szCs w:val="25"/>
        </w:rPr>
        <w:t xml:space="preserve">4.3 Link-verification states</w:t>
      </w:r>
    </w:p>
    <w:p>
      <w:pPr>
        <w:spacing w:after="120" w:before="0" w:line="276"/>
      </w:pPr>
      <w:r>
        <w:rPr>
          <w:rFonts w:ascii="Calibri" w:cs="Calibri" w:eastAsia="Calibri" w:hAnsi="Calibri"/>
          <w:color w:val="2B3736"/>
          <w:sz w:val="21"/>
          <w:szCs w:val="21"/>
        </w:rPr>
        <w:t xml:space="preserve">Every record carries one of four link-check states, shown under Provenance on the record (“Link checked”). They describe how far the link was checked — not whether the specific dataset behind it is guaranteed to exist.</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100"/>
        <w:gridCol w:w="1050"/>
        <w:gridCol w:w="6210"/>
      </w:tblGrid>
      <w:tr>
        <w:trPr>
          <w:tblHeader/>
        </w:trPr>
        <w:tc>
          <w:tcPr>
            <w:tcW w:type="dxa" w:w="21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State</w:t>
            </w:r>
          </w:p>
        </w:tc>
        <w:tc>
          <w:tcPr>
            <w:tcW w:type="dxa" w:w="105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Records</w:t>
            </w:r>
          </w:p>
        </w:tc>
        <w:tc>
          <w:tcPr>
            <w:tcW w:type="dxa" w:w="621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What it means</w:t>
            </w:r>
          </w:p>
        </w:tc>
      </w:tr>
      <w:tr>
        <w:tc>
          <w:tcPr>
            <w:tcW w:type="dxa" w:w="2100"/>
            <w:tcMar>
              <w:top w:type="dxa" w:w="50"/>
              <w:left w:type="dxa" w:w="90"/>
              <w:bottom w:type="dxa" w:w="50"/>
              <w:right w:type="dxa" w:w="90"/>
            </w:tcMar>
          </w:tcPr>
          <w:p>
            <w:r>
              <w:rPr>
                <w:rFonts w:ascii="Calibri" w:cs="Calibri" w:eastAsia="Calibri" w:hAnsi="Calibri"/>
                <w:color w:val="2B3736"/>
                <w:sz w:val="19"/>
                <w:szCs w:val="19"/>
              </w:rPr>
              <w:t xml:space="preserve">Live</w:t>
            </w:r>
          </w:p>
        </w:tc>
        <w:tc>
          <w:tcPr>
            <w:tcW w:type="dxa" w:w="1050"/>
            <w:tcMar>
              <w:top w:type="dxa" w:w="50"/>
              <w:left w:type="dxa" w:w="90"/>
              <w:bottom w:type="dxa" w:w="50"/>
              <w:right w:type="dxa" w:w="90"/>
            </w:tcMar>
          </w:tcPr>
          <w:p>
            <w:r>
              <w:rPr>
                <w:rFonts w:ascii="Calibri" w:cs="Calibri" w:eastAsia="Calibri" w:hAnsi="Calibri"/>
                <w:color w:val="2B3736"/>
                <w:sz w:val="19"/>
                <w:szCs w:val="19"/>
              </w:rPr>
              <w:t xml:space="preserve">348</w:t>
            </w:r>
          </w:p>
        </w:tc>
        <w:tc>
          <w:tcPr>
            <w:tcW w:type="dxa" w:w="6210"/>
            <w:tcMar>
              <w:top w:type="dxa" w:w="50"/>
              <w:left w:type="dxa" w:w="90"/>
              <w:bottom w:type="dxa" w:w="50"/>
              <w:right w:type="dxa" w:w="90"/>
            </w:tcMar>
          </w:tcPr>
          <w:p>
            <w:r>
              <w:rPr>
                <w:rFonts w:ascii="Calibri" w:cs="Calibri" w:eastAsia="Calibri" w:hAnsi="Calibri"/>
                <w:color w:val="2B3736"/>
                <w:sz w:val="19"/>
                <w:szCs w:val="19"/>
              </w:rPr>
              <w:t xml:space="preserve">The link was opened and returned a working page.</w:t>
            </w:r>
          </w:p>
        </w:tc>
      </w:tr>
      <w:tr>
        <w:tc>
          <w:tcPr>
            <w:tcW w:type="dxa" w:w="2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Search-verified</w:t>
            </w:r>
          </w:p>
        </w:tc>
        <w:tc>
          <w:tcPr>
            <w:tcW w:type="dxa" w:w="105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140</w:t>
            </w:r>
          </w:p>
        </w:tc>
        <w:tc>
          <w:tcPr>
            <w:tcW w:type="dxa" w:w="621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Confirmed via search rather than a direct fetch.</w:t>
            </w:r>
          </w:p>
        </w:tc>
      </w:tr>
      <w:tr>
        <w:tc>
          <w:tcPr>
            <w:tcW w:type="dxa" w:w="2100"/>
            <w:tcMar>
              <w:top w:type="dxa" w:w="50"/>
              <w:left w:type="dxa" w:w="90"/>
              <w:bottom w:type="dxa" w:w="50"/>
              <w:right w:type="dxa" w:w="90"/>
            </w:tcMar>
          </w:tcPr>
          <w:p>
            <w:r>
              <w:rPr>
                <w:rFonts w:ascii="Calibri" w:cs="Calibri" w:eastAsia="Calibri" w:hAnsi="Calibri"/>
                <w:color w:val="2B3736"/>
                <w:sz w:val="19"/>
                <w:szCs w:val="19"/>
              </w:rPr>
              <w:t xml:space="preserve">Reachable</w:t>
            </w:r>
          </w:p>
        </w:tc>
        <w:tc>
          <w:tcPr>
            <w:tcW w:type="dxa" w:w="1050"/>
            <w:tcMar>
              <w:top w:type="dxa" w:w="50"/>
              <w:left w:type="dxa" w:w="90"/>
              <w:bottom w:type="dxa" w:w="50"/>
              <w:right w:type="dxa" w:w="90"/>
            </w:tcMar>
          </w:tcPr>
          <w:p>
            <w:r>
              <w:rPr>
                <w:rFonts w:ascii="Calibri" w:cs="Calibri" w:eastAsia="Calibri" w:hAnsi="Calibri"/>
                <w:color w:val="2B3736"/>
                <w:sz w:val="19"/>
                <w:szCs w:val="19"/>
              </w:rPr>
              <w:t xml:space="preserve">73</w:t>
            </w:r>
          </w:p>
        </w:tc>
        <w:tc>
          <w:tcPr>
            <w:tcW w:type="dxa" w:w="6210"/>
            <w:tcMar>
              <w:top w:type="dxa" w:w="50"/>
              <w:left w:type="dxa" w:w="90"/>
              <w:bottom w:type="dxa" w:w="50"/>
              <w:right w:type="dxa" w:w="90"/>
            </w:tcMar>
          </w:tcPr>
          <w:p>
            <w:r>
              <w:rPr>
                <w:rFonts w:ascii="Calibri" w:cs="Calibri" w:eastAsia="Calibri" w:hAnsi="Calibri"/>
                <w:color w:val="2B3736"/>
                <w:sz w:val="19"/>
                <w:szCs w:val="19"/>
              </w:rPr>
              <w:t xml:space="preserve">The domain/host responded, but the exact dataset page was not individually fetch-confirmed.</w:t>
            </w:r>
          </w:p>
        </w:tc>
      </w:tr>
      <w:tr>
        <w:tc>
          <w:tcPr>
            <w:tcW w:type="dxa" w:w="2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Not checked</w:t>
            </w:r>
          </w:p>
        </w:tc>
        <w:tc>
          <w:tcPr>
            <w:tcW w:type="dxa" w:w="105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23</w:t>
            </w:r>
          </w:p>
        </w:tc>
        <w:tc>
          <w:tcPr>
            <w:tcW w:type="dxa" w:w="621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Not yet opened for verification — unconfirmed, and not known to be broken.</w:t>
            </w:r>
          </w:p>
        </w:tc>
      </w:tr>
    </w:tbl>
    <w:p>
      <w:pPr>
        <w:spacing w:after="120" w:before="0" w:line="276"/>
      </w:pPr>
      <w:r>
        <w:rPr>
          <w:rFonts w:ascii="Calibri" w:cs="Calibri" w:eastAsia="Calibri" w:hAnsi="Calibri"/>
          <w:b/>
          <w:bCs/>
          <w:color w:val="620D3C"/>
          <w:sz w:val="21"/>
          <w:szCs w:val="21"/>
        </w:rPr>
        <w:t xml:space="preserve">A reachable or live domain is never treated as proof that the specific dataset exists.</w:t>
      </w:r>
      <w:r>
        <w:rPr>
          <w:rFonts w:ascii="Calibri" w:cs="Calibri" w:eastAsia="Calibri" w:hAnsi="Calibri"/>
          <w:color w:val="2B3736"/>
          <w:sz w:val="21"/>
          <w:szCs w:val="21"/>
        </w:rPr>
        <w:t xml:space="preserve"> “Not checked” means “we haven’t opened it yet”, not “dead link”; Indian government portals routinely block automated checks, so an unchecked link is left honestly labelled rather than flagged as broken.</w:t>
      </w:r>
    </w:p>
    <w:p>
      <w:pPr>
        <w:pStyle w:val="Heading2"/>
        <w:spacing w:after="100" w:before="240"/>
      </w:pPr>
      <w:r>
        <w:rPr>
          <w:rFonts w:ascii="Calibri" w:cs="Calibri" w:eastAsia="Calibri" w:hAnsi="Calibri"/>
          <w:b/>
          <w:bCs/>
          <w:color w:val="2B3736"/>
          <w:sz w:val="25"/>
          <w:szCs w:val="25"/>
        </w:rPr>
        <w:t xml:space="preserve">4.4 What “Verified” never means</w:t>
      </w:r>
    </w:p>
    <w:p>
      <w:pPr>
        <w:spacing w:after="120" w:before="0" w:line="276"/>
      </w:pPr>
      <w:r>
        <w:rPr>
          <w:rFonts w:ascii="Calibri" w:cs="Calibri" w:eastAsia="Calibri" w:hAnsi="Calibri"/>
          <w:color w:val="2B3736"/>
          <w:sz w:val="21"/>
          <w:szCs w:val="21"/>
        </w:rPr>
        <w:t xml:space="preserve">A record is never promoted to Verified merely because its URL has a path, its URL is unique, its domain is reachable, an HTTP request succeeds, it is search-verified, its metadata looks plausible, its provider or category or region is known, its URL looks like a dataset URL, or another record from the same provider is verified. None of these, alone or together, grants Verified.</w:t>
      </w:r>
    </w:p>
    <w:p>
      <w:pPr>
        <w:pStyle w:val="Heading2"/>
        <w:spacing w:after="100" w:before="240"/>
      </w:pPr>
      <w:r>
        <w:rPr>
          <w:rFonts w:ascii="Calibri" w:cs="Calibri" w:eastAsia="Calibri" w:hAnsi="Calibri"/>
          <w:b/>
          <w:bCs/>
          <w:color w:val="2B3736"/>
          <w:sz w:val="25"/>
          <w:szCs w:val="25"/>
        </w:rPr>
        <w:t xml:space="preserve">4.5 Dates are kept distinct</w:t>
      </w:r>
    </w:p>
    <w:p>
      <w:pPr>
        <w:spacing w:after="120" w:before="0" w:line="276"/>
      </w:pPr>
      <w:r>
        <w:rPr>
          <w:rFonts w:ascii="Calibri" w:cs="Calibri" w:eastAsia="Calibri" w:hAnsi="Calibri"/>
          <w:color w:val="2B3736"/>
          <w:sz w:val="21"/>
          <w:szCs w:val="21"/>
        </w:rPr>
        <w:t xml:space="preserve">Two different dates can appear, and they are not the same thing:</w:t>
      </w:r>
    </w:p>
    <w:p>
      <w:pPr>
        <w:pStyle w:val="ListParagraph"/>
        <w:numPr>
          <w:ilvl w:val="0"/>
          <w:numId w:val="2"/>
        </w:numPr>
        <w:spacing w:after="70" w:line="270"/>
      </w:pPr>
      <w:r>
        <w:rPr>
          <w:rFonts w:ascii="Calibri" w:cs="Calibri" w:eastAsia="Calibri" w:hAnsi="Calibri"/>
          <w:color w:val="2B3736"/>
          <w:sz w:val="21"/>
          <w:szCs w:val="21"/>
        </w:rPr>
        <w:t xml:space="preserve">Link-checked date — when the link was last checked (shown with the link-check state).</w:t>
      </w:r>
    </w:p>
    <w:p>
      <w:pPr>
        <w:pStyle w:val="ListParagraph"/>
        <w:numPr>
          <w:ilvl w:val="0"/>
          <w:numId w:val="2"/>
        </w:numPr>
        <w:spacing w:after="70" w:line="270"/>
      </w:pPr>
      <w:r>
        <w:rPr>
          <w:rFonts w:ascii="Calibri" w:cs="Calibri" w:eastAsia="Calibri" w:hAnsi="Calibri"/>
          <w:color w:val="2B3736"/>
          <w:sz w:val="21"/>
          <w:szCs w:val="21"/>
        </w:rPr>
        <w:t xml:space="preserve">Verified date — when a human confirmed the specific dataset. A record with no verified date is not presented as human dataset-verified; a missing date is a bookkeeping gap, not proof the link was never opened.</w:t>
      </w:r>
    </w:p>
    <w:p>
      <w:pPr>
        <w:spacing w:after="120" w:before="0" w:line="276"/>
      </w:pPr>
      <w:r>
        <w:rPr>
          <w:rFonts w:ascii="Calibri" w:cs="Calibri" w:eastAsia="Calibri" w:hAnsi="Calibri"/>
          <w:i/>
          <w:iCs/>
          <w:color w:val="5E5349"/>
          <w:sz w:val="21"/>
          <w:szCs w:val="21"/>
        </w:rPr>
        <w:t xml:space="preserve">Neither of these is the data’s own update cadence, which is recorded separately as Update frequency / Timeframe.</w:t>
      </w:r>
    </w:p>
    <w:p>
      <w:pPr>
        <w:pStyle w:val="Heading2"/>
        <w:spacing w:after="100" w:before="240"/>
      </w:pPr>
      <w:r>
        <w:rPr>
          <w:rFonts w:ascii="Calibri" w:cs="Calibri" w:eastAsia="Calibri" w:hAnsi="Calibri"/>
          <w:b/>
          <w:bCs/>
          <w:color w:val="2B3736"/>
          <w:sz w:val="25"/>
          <w:szCs w:val="25"/>
        </w:rPr>
        <w:t xml:space="preserve">4.6 Provisional / inventory records</w:t>
      </w:r>
    </w:p>
    <w:p>
      <w:pPr>
        <w:spacing w:after="120" w:before="0" w:line="276"/>
      </w:pPr>
      <w:r>
        <w:rPr>
          <w:rFonts w:ascii="Calibri" w:cs="Calibri" w:eastAsia="Calibri" w:hAnsi="Calibri"/>
          <w:color w:val="2B3736"/>
          <w:sz w:val="21"/>
          <w:szCs w:val="21"/>
        </w:rPr>
        <w:t xml:space="preserve">A set of records are catalogued leads whose fields are pending confirmation (for example State Remote Sensing Centre holdings added as an inventory). These carry the status </w:t>
      </w:r>
      <w:r>
        <w:rPr>
          <w:rFonts w:ascii="Calibri" w:cs="Calibri" w:eastAsia="Calibri" w:hAnsi="Calibri"/>
          <w:b/>
          <w:bCs/>
          <w:color w:val="2B3736"/>
          <w:sz w:val="21"/>
          <w:szCs w:val="21"/>
        </w:rPr>
        <w:t xml:space="preserve">“Unverified (assumed Active)”</w:t>
      </w:r>
      <w:r>
        <w:rPr>
          <w:rFonts w:ascii="Calibri" w:cs="Calibri" w:eastAsia="Calibri" w:hAnsi="Calibri"/>
          <w:color w:val="2B3736"/>
          <w:sz w:val="21"/>
          <w:szCs w:val="21"/>
        </w:rPr>
        <w:t xml:space="preserve"> and a visible “NOT VERIFIED” note. At the time of writing there are 48 such records. Every one of them is classified as Representative — none is Verified — and none can be promoted automatically. They are kept, not deleted, so the catalogue represents the real inventory honestly, with its uncertainty visible rather than hidden.</w:t>
      </w:r>
    </w:p>
    <w:p>
      <w:pPr>
        <w:pStyle w:val="Heading1"/>
        <w:spacing w:after="140" w:before="320"/>
      </w:pPr>
      <w:r>
        <w:rPr>
          <w:rFonts w:ascii="Calibri" w:cs="Calibri" w:eastAsia="Calibri" w:hAnsi="Calibri"/>
          <w:b/>
          <w:bCs/>
          <w:color w:val="620D3C"/>
          <w:sz w:val="30"/>
          <w:szCs w:val="30"/>
        </w:rPr>
        <w:t xml:space="preserve">5. Geoportal Assessment methodology</w:t>
      </w:r>
    </w:p>
    <w:p>
      <w:pPr>
        <w:spacing w:after="120" w:before="0" w:line="276"/>
      </w:pPr>
      <w:r>
        <w:rPr>
          <w:rFonts w:ascii="Calibri" w:cs="Calibri" w:eastAsia="Calibri" w:hAnsi="Calibri"/>
          <w:color w:val="2B3736"/>
          <w:sz w:val="21"/>
          <w:szCs w:val="21"/>
        </w:rPr>
        <w:t xml:space="preserve">The Geoportal Assessment scores portals on the parameters identified in the Takshashila report </w:t>
      </w:r>
      <w:r>
        <w:rPr>
          <w:rFonts w:ascii="Calibri" w:cs="Calibri" w:eastAsia="Calibri" w:hAnsi="Calibri"/>
          <w:i/>
          <w:iCs/>
          <w:color w:val="2B3736"/>
          <w:sz w:val="21"/>
          <w:szCs w:val="21"/>
        </w:rPr>
        <w:t xml:space="preserve">“State of India’s Geospatial Portal (2025-26)”</w:t>
      </w:r>
      <w:r>
        <w:rPr>
          <w:rFonts w:ascii="Calibri" w:cs="Calibri" w:eastAsia="Calibri" w:hAnsi="Calibri"/>
          <w:color w:val="2B3736"/>
          <w:sz w:val="21"/>
          <w:szCs w:val="21"/>
        </w:rPr>
        <w:t xml:space="preserve">. Scores are recomputed from the catalogued records currently in view; they are not a general quality judgement of any portal beyond what is catalogued here.</w:t>
      </w:r>
    </w:p>
    <w:p>
      <w:pPr>
        <w:pStyle w:val="Heading2"/>
        <w:spacing w:after="100" w:before="240"/>
      </w:pPr>
      <w:r>
        <w:rPr>
          <w:rFonts w:ascii="Calibri" w:cs="Calibri" w:eastAsia="Calibri" w:hAnsi="Calibri"/>
          <w:b/>
          <w:bCs/>
          <w:color w:val="2B3736"/>
          <w:sz w:val="25"/>
          <w:szCs w:val="25"/>
        </w:rPr>
        <w:t xml:space="preserve">5.1 Parameters and weights</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500"/>
        <w:gridCol w:w="1100"/>
        <w:gridCol w:w="5760"/>
      </w:tblGrid>
      <w:tr>
        <w:trPr>
          <w:tblHeader/>
        </w:trPr>
        <w:tc>
          <w:tcPr>
            <w:tcW w:type="dxa" w:w="25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Parameter</w:t>
            </w:r>
          </w:p>
        </w:tc>
        <w:tc>
          <w:tcPr>
            <w:tcW w:type="dxa" w:w="11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Weight</w:t>
            </w:r>
          </w:p>
        </w:tc>
        <w:tc>
          <w:tcPr>
            <w:tcW w:type="dxa" w:w="57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Scored higher when…</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Download capability</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25%</w:t>
            </w:r>
          </w:p>
        </w:tc>
        <w:tc>
          <w:tcPr>
            <w:tcW w:type="dxa" w:w="5760"/>
            <w:tcMar>
              <w:top w:type="dxa" w:w="50"/>
              <w:left w:type="dxa" w:w="90"/>
              <w:bottom w:type="dxa" w:w="50"/>
              <w:right w:type="dxa" w:w="90"/>
            </w:tcMar>
          </w:tcPr>
          <w:p>
            <w:r>
              <w:rPr>
                <w:rFonts w:ascii="Calibri" w:cs="Calibri" w:eastAsia="Calibri" w:hAnsi="Calibri"/>
                <w:color w:val="2B3736"/>
                <w:sz w:val="19"/>
                <w:szCs w:val="19"/>
              </w:rPr>
              <w:t xml:space="preserve">Direct/full download is available rather than viewer-only.</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Open &amp; free access</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20%</w:t>
            </w:r>
          </w:p>
        </w:tc>
        <w:tc>
          <w:tcPr>
            <w:tcW w:type="dxa" w:w="5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Access Tier is Open/Free (registration-free).</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GIS-ready formats</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15%</w:t>
            </w:r>
          </w:p>
        </w:tc>
        <w:tc>
          <w:tcPr>
            <w:tcW w:type="dxa" w:w="5760"/>
            <w:tcMar>
              <w:top w:type="dxa" w:w="50"/>
              <w:left w:type="dxa" w:w="90"/>
              <w:bottom w:type="dxa" w:w="50"/>
              <w:right w:type="dxa" w:w="90"/>
            </w:tcMar>
          </w:tcPr>
          <w:p>
            <w:r>
              <w:rPr>
                <w:rFonts w:ascii="Calibri" w:cs="Calibri" w:eastAsia="Calibri" w:hAnsi="Calibri"/>
                <w:color w:val="2B3736"/>
                <w:sz w:val="19"/>
                <w:szCs w:val="19"/>
              </w:rPr>
              <w:t xml:space="preserve">Data is in GIS-ready formats rather than PDF/viewer-only.</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Data recency</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15%</w:t>
            </w:r>
          </w:p>
        </w:tc>
        <w:tc>
          <w:tcPr>
            <w:tcW w:type="dxa" w:w="5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Data is real-time, continuously updated or recent.</w:t>
            </w:r>
          </w:p>
        </w:tc>
      </w:tr>
      <w:tr>
        <w:tc>
          <w:tcPr>
            <w:tcW w:type="dxa" w:w="2500"/>
            <w:tcMar>
              <w:top w:type="dxa" w:w="50"/>
              <w:left w:type="dxa" w:w="90"/>
              <w:bottom w:type="dxa" w:w="50"/>
              <w:right w:type="dxa" w:w="90"/>
            </w:tcMar>
          </w:tcPr>
          <w:p>
            <w:r>
              <w:rPr>
                <w:rFonts w:ascii="Calibri" w:cs="Calibri" w:eastAsia="Calibri" w:hAnsi="Calibri"/>
                <w:color w:val="2B3736"/>
                <w:sz w:val="19"/>
                <w:szCs w:val="19"/>
              </w:rPr>
              <w:t xml:space="preserve">API &amp; web services</w:t>
            </w:r>
          </w:p>
        </w:tc>
        <w:tc>
          <w:tcPr>
            <w:tcW w:type="dxa" w:w="1100"/>
            <w:tcMar>
              <w:top w:type="dxa" w:w="50"/>
              <w:left w:type="dxa" w:w="90"/>
              <w:bottom w:type="dxa" w:w="50"/>
              <w:right w:type="dxa" w:w="90"/>
            </w:tcMar>
          </w:tcPr>
          <w:p>
            <w:r>
              <w:rPr>
                <w:rFonts w:ascii="Calibri" w:cs="Calibri" w:eastAsia="Calibri" w:hAnsi="Calibri"/>
                <w:color w:val="2B3736"/>
                <w:sz w:val="19"/>
                <w:szCs w:val="19"/>
              </w:rPr>
              <w:t xml:space="preserve">15%</w:t>
            </w:r>
          </w:p>
        </w:tc>
        <w:tc>
          <w:tcPr>
            <w:tcW w:type="dxa" w:w="5760"/>
            <w:tcMar>
              <w:top w:type="dxa" w:w="50"/>
              <w:left w:type="dxa" w:w="90"/>
              <w:bottom w:type="dxa" w:w="50"/>
              <w:right w:type="dxa" w:w="90"/>
            </w:tcMar>
          </w:tcPr>
          <w:p>
            <w:r>
              <w:rPr>
                <w:rFonts w:ascii="Calibri" w:cs="Calibri" w:eastAsia="Calibri" w:hAnsi="Calibri"/>
                <w:color w:val="2B3736"/>
                <w:sz w:val="19"/>
                <w:szCs w:val="19"/>
              </w:rPr>
              <w:t xml:space="preserve">APIs and/or OGC web services (WMS/WFS) are offered.</w:t>
            </w:r>
          </w:p>
        </w:tc>
      </w:tr>
      <w:tr>
        <w:tc>
          <w:tcPr>
            <w:tcW w:type="dxa" w:w="25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Link reliability</w:t>
            </w:r>
          </w:p>
        </w:tc>
        <w:tc>
          <w:tcPr>
            <w:tcW w:type="dxa" w:w="11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10%</w:t>
            </w:r>
          </w:p>
        </w:tc>
        <w:tc>
          <w:tcPr>
            <w:tcW w:type="dxa" w:w="5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The link is live/reachable rather than unconfirmed.</w:t>
            </w:r>
          </w:p>
        </w:tc>
      </w:tr>
    </w:tbl>
    <w:p>
      <w:pPr>
        <w:spacing w:after="120" w:before="20" w:line="276"/>
      </w:pPr>
      <w:r>
        <w:rPr>
          <w:rFonts w:ascii="Calibri" w:cs="Calibri" w:eastAsia="Calibri" w:hAnsi="Calibri"/>
          <w:i/>
          <w:iCs/>
          <w:color w:val="5E5349"/>
          <w:sz w:val="21"/>
          <w:szCs w:val="21"/>
        </w:rPr>
        <w:t xml:space="preserve">GIS-ready formats are a fixed set: Shapefile, GeoTIFF, GeoJSON, CSV / Tabular, NetCDF / HDF, API / JSON, WMS / OGC, and LAS / Point Cloud.</w:t>
      </w:r>
    </w:p>
    <w:p>
      <w:pPr>
        <w:pStyle w:val="Heading2"/>
        <w:spacing w:after="100" w:before="240"/>
      </w:pPr>
      <w:r>
        <w:rPr>
          <w:rFonts w:ascii="Calibri" w:cs="Calibri" w:eastAsia="Calibri" w:hAnsi="Calibri"/>
          <w:b/>
          <w:bCs/>
          <w:color w:val="2B3736"/>
          <w:sz w:val="25"/>
          <w:szCs w:val="25"/>
        </w:rPr>
        <w:t xml:space="preserve">5.2 How missing data is handled</w:t>
      </w:r>
    </w:p>
    <w:p>
      <w:pPr>
        <w:spacing w:after="120" w:before="0" w:line="276"/>
      </w:pPr>
      <w:r>
        <w:rPr>
          <w:rFonts w:ascii="Calibri" w:cs="Calibri" w:eastAsia="Calibri" w:hAnsi="Calibri"/>
          <w:color w:val="2B3736"/>
          <w:sz w:val="21"/>
          <w:szCs w:val="21"/>
        </w:rPr>
        <w:t xml:space="preserve">Fields recorded as “Not specified” are </w:t>
      </w:r>
      <w:r>
        <w:rPr>
          <w:rFonts w:ascii="Calibri" w:cs="Calibri" w:eastAsia="Calibri" w:hAnsi="Calibri"/>
          <w:b/>
          <w:bCs/>
          <w:color w:val="2B3736"/>
          <w:sz w:val="21"/>
          <w:szCs w:val="21"/>
        </w:rPr>
        <w:t xml:space="preserve">excluded</w:t>
      </w:r>
      <w:r>
        <w:rPr>
          <w:rFonts w:ascii="Calibri" w:cs="Calibri" w:eastAsia="Calibri" w:hAnsi="Calibri"/>
          <w:color w:val="2B3736"/>
          <w:sz w:val="21"/>
          <w:szCs w:val="21"/>
        </w:rPr>
        <w:t xml:space="preserve"> from a portal’s score and the remaining weights are renormalised — they are never assumed or guessed. A portal is scored only on what is actually known about it.</w:t>
      </w:r>
    </w:p>
    <w:p>
      <w:pPr>
        <w:spacing w:after="120" w:before="0" w:line="276"/>
      </w:pPr>
      <w:r>
        <w:rPr>
          <w:rFonts w:ascii="Calibri" w:cs="Calibri" w:eastAsia="Calibri" w:hAnsi="Calibri"/>
          <w:i/>
          <w:iCs/>
          <w:color w:val="5E5349"/>
          <w:sz w:val="21"/>
          <w:szCs w:val="21"/>
        </w:rPr>
        <w:t xml:space="preserve">Because scores are computed live from the records in view, filtering the catalogue re-scores the portals against just that subset.</w:t>
      </w:r>
    </w:p>
    <w:p>
      <w:pPr>
        <w:pStyle w:val="Heading1"/>
        <w:spacing w:after="140" w:before="320"/>
      </w:pPr>
      <w:r>
        <w:rPr>
          <w:rFonts w:ascii="Calibri" w:cs="Calibri" w:eastAsia="Calibri" w:hAnsi="Calibri"/>
          <w:b/>
          <w:bCs/>
          <w:color w:val="620D3C"/>
          <w:sz w:val="30"/>
          <w:szCs w:val="30"/>
        </w:rPr>
        <w:t xml:space="preserve">6. Provenance shown on every record</w:t>
      </w:r>
    </w:p>
    <w:p>
      <w:pPr>
        <w:spacing w:after="120" w:before="0" w:line="276"/>
      </w:pPr>
      <w:r>
        <w:rPr>
          <w:rFonts w:ascii="Calibri" w:cs="Calibri" w:eastAsia="Calibri" w:hAnsi="Calibri"/>
          <w:color w:val="2B3736"/>
          <w:sz w:val="21"/>
          <w:szCs w:val="21"/>
        </w:rPr>
        <w:t xml:space="preserve">Opening a record’s detail reveals its provenance, so the classification can be checked against the source:</w:t>
      </w:r>
    </w:p>
    <w:p>
      <w:pPr>
        <w:pStyle w:val="ListParagraph"/>
        <w:numPr>
          <w:ilvl w:val="0"/>
          <w:numId w:val="2"/>
        </w:numPr>
        <w:spacing w:after="70" w:line="270"/>
      </w:pPr>
      <w:r>
        <w:rPr>
          <w:rFonts w:ascii="Calibri" w:cs="Calibri" w:eastAsia="Calibri" w:hAnsi="Calibri"/>
          <w:color w:val="2B3736"/>
          <w:sz w:val="21"/>
          <w:szCs w:val="21"/>
        </w:rPr>
        <w:t xml:space="preserve">Source agency and Provider — who holds and who runs the data.</w:t>
      </w:r>
    </w:p>
    <w:p>
      <w:pPr>
        <w:pStyle w:val="ListParagraph"/>
        <w:numPr>
          <w:ilvl w:val="0"/>
          <w:numId w:val="2"/>
        </w:numPr>
        <w:spacing w:after="70" w:line="270"/>
      </w:pPr>
      <w:r>
        <w:rPr>
          <w:rFonts w:ascii="Calibri" w:cs="Calibri" w:eastAsia="Calibri" w:hAnsi="Calibri"/>
          <w:color w:val="2B3736"/>
          <w:sz w:val="21"/>
          <w:szCs w:val="21"/>
        </w:rPr>
        <w:t xml:space="preserve">Status — Active, Archived/Offline, or Unverified (assumed Active) for provisional leads.</w:t>
      </w:r>
    </w:p>
    <w:p>
      <w:pPr>
        <w:pStyle w:val="ListParagraph"/>
        <w:numPr>
          <w:ilvl w:val="0"/>
          <w:numId w:val="2"/>
        </w:numPr>
        <w:spacing w:after="70" w:line="270"/>
      </w:pPr>
      <w:r>
        <w:rPr>
          <w:rFonts w:ascii="Calibri" w:cs="Calibri" w:eastAsia="Calibri" w:hAnsi="Calibri"/>
          <w:color w:val="2B3736"/>
          <w:sz w:val="21"/>
          <w:szCs w:val="21"/>
        </w:rPr>
        <w:t xml:space="preserve">Known limitations — the source’s own caveats and any classification notes.</w:t>
      </w:r>
    </w:p>
    <w:p>
      <w:pPr>
        <w:pStyle w:val="ListParagraph"/>
        <w:numPr>
          <w:ilvl w:val="0"/>
          <w:numId w:val="2"/>
        </w:numPr>
        <w:spacing w:after="70" w:line="270"/>
      </w:pPr>
      <w:r>
        <w:rPr>
          <w:rFonts w:ascii="Calibri" w:cs="Calibri" w:eastAsia="Calibri" w:hAnsi="Calibri"/>
          <w:color w:val="2B3736"/>
          <w:sz w:val="21"/>
          <w:szCs w:val="21"/>
        </w:rPr>
        <w:t xml:space="preserve">Link checked — the link-check date and one of Live / Reachable / Search-verified / Not checked.</w:t>
      </w:r>
    </w:p>
    <w:p>
      <w:pPr>
        <w:pStyle w:val="ListParagraph"/>
        <w:numPr>
          <w:ilvl w:val="0"/>
          <w:numId w:val="2"/>
        </w:numPr>
        <w:spacing w:after="70" w:line="270"/>
      </w:pPr>
      <w:r>
        <w:rPr>
          <w:rFonts w:ascii="Calibri" w:cs="Calibri" w:eastAsia="Calibri" w:hAnsi="Calibri"/>
          <w:color w:val="2B3736"/>
          <w:sz w:val="21"/>
          <w:szCs w:val="21"/>
        </w:rPr>
        <w:t xml:space="preserve">Audit trail — any correction applied to the record (downgrade/upgrade reasons, merges, resolved gaps, URL updates), so every change is visible on the record itself.</w:t>
      </w:r>
    </w:p>
    <w:p>
      <w:pPr>
        <w:pStyle w:val="Heading1"/>
        <w:spacing w:after="140" w:before="320"/>
      </w:pPr>
      <w:r>
        <w:rPr>
          <w:rFonts w:ascii="Calibri" w:cs="Calibri" w:eastAsia="Calibri" w:hAnsi="Calibri"/>
          <w:b/>
          <w:bCs/>
          <w:color w:val="620D3C"/>
          <w:sz w:val="30"/>
          <w:szCs w:val="30"/>
        </w:rPr>
        <w:t xml:space="preserve">7. Data-integrity principles</w:t>
      </w:r>
    </w:p>
    <w:p>
      <w:pPr>
        <w:spacing w:after="120" w:before="0" w:line="276"/>
      </w:pPr>
      <w:r>
        <w:rPr>
          <w:rFonts w:ascii="Calibri" w:cs="Calibri" w:eastAsia="Calibri" w:hAnsi="Calibri"/>
          <w:color w:val="2B3736"/>
          <w:sz w:val="21"/>
          <w:szCs w:val="21"/>
        </w:rPr>
        <w:t xml:space="preserve">The catalogue follows a small set of rules consistently, which explains why some fields read “Not specified” or “Unclassified” rather than being filled in:</w:t>
      </w:r>
    </w:p>
    <w:p>
      <w:pPr>
        <w:pStyle w:val="ListParagraph"/>
        <w:numPr>
          <w:ilvl w:val="0"/>
          <w:numId w:val="2"/>
        </w:numPr>
        <w:spacing w:after="70" w:line="270"/>
      </w:pPr>
      <w:r>
        <w:rPr>
          <w:rFonts w:ascii="Calibri" w:cs="Calibri" w:eastAsia="Calibri" w:hAnsi="Calibri"/>
          <w:color w:val="2B3736"/>
          <w:sz w:val="21"/>
          <w:szCs w:val="21"/>
        </w:rPr>
        <w:t xml:space="preserve">Never invent a URL, a title, or a value. A blank stays blank.</w:t>
      </w:r>
    </w:p>
    <w:p>
      <w:pPr>
        <w:pStyle w:val="ListParagraph"/>
        <w:numPr>
          <w:ilvl w:val="0"/>
          <w:numId w:val="2"/>
        </w:numPr>
        <w:spacing w:after="70" w:line="270"/>
      </w:pPr>
      <w:r>
        <w:rPr>
          <w:rFonts w:ascii="Calibri" w:cs="Calibri" w:eastAsia="Calibri" w:hAnsi="Calibri"/>
          <w:color w:val="2B3736"/>
          <w:sz w:val="21"/>
          <w:szCs w:val="21"/>
        </w:rPr>
        <w:t xml:space="preserve">Prefer an explicit “Not specified” / “Unclassified” state over a guess.</w:t>
      </w:r>
    </w:p>
    <w:p>
      <w:pPr>
        <w:pStyle w:val="ListParagraph"/>
        <w:numPr>
          <w:ilvl w:val="0"/>
          <w:numId w:val="2"/>
        </w:numPr>
        <w:spacing w:after="70" w:line="270"/>
      </w:pPr>
      <w:r>
        <w:rPr>
          <w:rFonts w:ascii="Calibri" w:cs="Calibri" w:eastAsia="Calibri" w:hAnsi="Calibri"/>
          <w:color w:val="2B3736"/>
          <w:sz w:val="21"/>
          <w:szCs w:val="21"/>
        </w:rPr>
        <w:t xml:space="preserve">Confidence can only be lowered by the evidence, never raised without it — no automatic promotion to Verified.</w:t>
      </w:r>
    </w:p>
    <w:p>
      <w:pPr>
        <w:pStyle w:val="ListParagraph"/>
        <w:numPr>
          <w:ilvl w:val="0"/>
          <w:numId w:val="2"/>
        </w:numPr>
        <w:spacing w:after="70" w:line="270"/>
      </w:pPr>
      <w:r>
        <w:rPr>
          <w:rFonts w:ascii="Calibri" w:cs="Calibri" w:eastAsia="Calibri" w:hAnsi="Calibri"/>
          <w:color w:val="2B3736"/>
          <w:sz w:val="21"/>
          <w:szCs w:val="21"/>
        </w:rPr>
        <w:t xml:space="preserve">A working link is not proof the specific dataset exists.</w:t>
      </w:r>
    </w:p>
    <w:p>
      <w:pPr>
        <w:pStyle w:val="ListParagraph"/>
        <w:numPr>
          <w:ilvl w:val="0"/>
          <w:numId w:val="2"/>
        </w:numPr>
        <w:spacing w:after="70" w:line="270"/>
      </w:pPr>
      <w:r>
        <w:rPr>
          <w:rFonts w:ascii="Calibri" w:cs="Calibri" w:eastAsia="Calibri" w:hAnsi="Calibri"/>
          <w:color w:val="2B3736"/>
          <w:sz w:val="21"/>
          <w:szCs w:val="21"/>
        </w:rPr>
        <w:t xml:space="preserve">Provisional records are labelled as such and never counted as confirmed or verified.</w:t>
      </w:r>
    </w:p>
    <w:p>
      <w:pPr>
        <w:pStyle w:val="ListParagraph"/>
        <w:numPr>
          <w:ilvl w:val="0"/>
          <w:numId w:val="2"/>
        </w:numPr>
        <w:spacing w:after="70" w:line="270"/>
      </w:pPr>
      <w:r>
        <w:rPr>
          <w:rFonts w:ascii="Calibri" w:cs="Calibri" w:eastAsia="Calibri" w:hAnsi="Calibri"/>
          <w:color w:val="2B3736"/>
          <w:sz w:val="21"/>
          <w:szCs w:val="21"/>
        </w:rPr>
        <w:t xml:space="preserve">Corrections are logged on the record’s own provenance, not applied silently.</w:t>
      </w:r>
    </w:p>
    <w:p>
      <w:pPr>
        <w:pStyle w:val="Heading1"/>
        <w:spacing w:after="140" w:before="320"/>
      </w:pPr>
      <w:r>
        <w:rPr>
          <w:rFonts w:ascii="Calibri" w:cs="Calibri" w:eastAsia="Calibri" w:hAnsi="Calibri"/>
          <w:b/>
          <w:bCs/>
          <w:color w:val="620D3C"/>
          <w:sz w:val="30"/>
          <w:szCs w:val="30"/>
        </w:rPr>
        <w:t xml:space="preserve">8. Category quick reference</w:t>
      </w:r>
    </w:p>
    <w:p>
      <w:pPr>
        <w:spacing w:after="120" w:before="0" w:line="276"/>
      </w:pPr>
      <w:r>
        <w:rPr>
          <w:rFonts w:ascii="Calibri" w:cs="Calibri" w:eastAsia="Calibri" w:hAnsi="Calibri"/>
          <w:color w:val="2B3736"/>
          <w:sz w:val="21"/>
          <w:szCs w:val="21"/>
        </w:rPr>
        <w:t xml:space="preserve">Every classification dimension, its fixed values, and the record count at the time of writing (584 records).</w:t>
      </w:r>
    </w:p>
    <w:p>
      <w:pPr>
        <w:pStyle w:val="Heading3"/>
        <w:spacing w:after="80" w:before="180"/>
      </w:pPr>
      <w:r>
        <w:rPr>
          <w:rFonts w:ascii="Calibri" w:cs="Calibri" w:eastAsia="Calibri" w:hAnsi="Calibri"/>
          <w:b/>
          <w:bCs/>
          <w:color w:val="5E5349"/>
          <w:sz w:val="22"/>
          <w:szCs w:val="22"/>
        </w:rPr>
        <w:t xml:space="preserve">Provider Type</w:t>
      </w:r>
    </w:p>
    <w:p>
      <w:pPr>
        <w:spacing w:after="120" w:before="0" w:line="276"/>
      </w:pPr>
      <w:r>
        <w:rPr>
          <w:rFonts w:ascii="Calibri" w:cs="Calibri" w:eastAsia="Calibri" w:hAnsi="Calibri"/>
          <w:color w:val="2B3736"/>
          <w:sz w:val="21"/>
          <w:szCs w:val="21"/>
        </w:rPr>
        <w:t xml:space="preserve">Government &amp; PSU (399) · NGOs &amp; Intl Orgs (71) · Commercial Providers (63) · Scientific Institutions (51).</w:t>
      </w:r>
    </w:p>
    <w:p>
      <w:pPr>
        <w:pStyle w:val="Heading3"/>
        <w:spacing w:after="80" w:before="180"/>
      </w:pPr>
      <w:r>
        <w:rPr>
          <w:rFonts w:ascii="Calibri" w:cs="Calibri" w:eastAsia="Calibri" w:hAnsi="Calibri"/>
          <w:b/>
          <w:bCs/>
          <w:color w:val="5E5349"/>
          <w:sz w:val="22"/>
          <w:szCs w:val="22"/>
        </w:rPr>
        <w:t xml:space="preserve">Scope</w:t>
      </w:r>
    </w:p>
    <w:p>
      <w:pPr>
        <w:spacing w:after="120" w:before="0" w:line="276"/>
      </w:pPr>
      <w:r>
        <w:rPr>
          <w:rFonts w:ascii="Calibri" w:cs="Calibri" w:eastAsia="Calibri" w:hAnsi="Calibri"/>
          <w:color w:val="2B3736"/>
          <w:sz w:val="21"/>
          <w:szCs w:val="21"/>
        </w:rPr>
        <w:t xml:space="preserve">India (495) · Global (89).</w:t>
      </w:r>
    </w:p>
    <w:p>
      <w:pPr>
        <w:pStyle w:val="Heading3"/>
        <w:spacing w:after="80" w:before="180"/>
      </w:pPr>
      <w:r>
        <w:rPr>
          <w:rFonts w:ascii="Calibri" w:cs="Calibri" w:eastAsia="Calibri" w:hAnsi="Calibri"/>
          <w:b/>
          <w:bCs/>
          <w:color w:val="5E5349"/>
          <w:sz w:val="22"/>
          <w:szCs w:val="22"/>
        </w:rPr>
        <w:t xml:space="preserve">Coverage Tier</w:t>
      </w:r>
    </w:p>
    <w:p>
      <w:pPr>
        <w:spacing w:after="120" w:before="0" w:line="276"/>
      </w:pPr>
      <w:r>
        <w:rPr>
          <w:rFonts w:ascii="Calibri" w:cs="Calibri" w:eastAsia="Calibri" w:hAnsi="Calibri"/>
          <w:color w:val="2B3736"/>
          <w:sz w:val="21"/>
          <w:szCs w:val="21"/>
        </w:rPr>
        <w:t xml:space="preserve">State (253) · National (138) · Regional/global (134) · Multi-state/thematic (32) · Union Territory (27).</w:t>
      </w:r>
    </w:p>
    <w:p>
      <w:pPr>
        <w:pStyle w:val="Heading3"/>
        <w:spacing w:after="80" w:before="180"/>
      </w:pPr>
      <w:r>
        <w:rPr>
          <w:rFonts w:ascii="Calibri" w:cs="Calibri" w:eastAsia="Calibri" w:hAnsi="Calibri"/>
          <w:b/>
          <w:bCs/>
          <w:color w:val="5E5349"/>
          <w:sz w:val="22"/>
          <w:szCs w:val="22"/>
        </w:rPr>
        <w:t xml:space="preserve">Theme Groups (16)</w:t>
      </w:r>
    </w:p>
    <w:p>
      <w:pPr>
        <w:spacing w:after="120" w:before="0" w:line="276"/>
      </w:pPr>
      <w:r>
        <w:rPr>
          <w:rFonts w:ascii="Calibri" w:cs="Calibri" w:eastAsia="Calibri" w:hAnsi="Calibri"/>
          <w:color w:val="2B3736"/>
          <w:sz w:val="21"/>
          <w:szCs w:val="21"/>
        </w:rPr>
        <w:t xml:space="preserve">Base mapping &amp; boundaries (95) · Urban &amp; municipal (72) · Multi-theme &amp; catalogues (51) · Water &amp; hydrology (50) · Forest, biodiversity &amp; land cover (36) · Transport &amp; infrastructure (35) · Land records &amp; cadastral (34) · Climate, weather &amp; ocean (32) · Geology, minerals &amp; energy (30) · Agriculture (28) · Population &amp; society (28) · Disaster &amp; risk (24) · Imagery &amp; elevation (22) · Economy, trade &amp; development (21) · Environment &amp; pollution (13) · Governance, digital &amp; society indices (13).</w:t>
      </w:r>
    </w:p>
    <w:p>
      <w:pPr>
        <w:pStyle w:val="Heading3"/>
        <w:spacing w:after="80" w:before="180"/>
      </w:pPr>
      <w:r>
        <w:rPr>
          <w:rFonts w:ascii="Calibri" w:cs="Calibri" w:eastAsia="Calibri" w:hAnsi="Calibri"/>
          <w:b/>
          <w:bCs/>
          <w:color w:val="5E5349"/>
          <w:sz w:val="22"/>
          <w:szCs w:val="22"/>
        </w:rPr>
        <w:t xml:space="preserve">Access Tier</w:t>
      </w:r>
    </w:p>
    <w:p>
      <w:pPr>
        <w:spacing w:after="120" w:before="0" w:line="276"/>
      </w:pPr>
      <w:r>
        <w:rPr>
          <w:rFonts w:ascii="Calibri" w:cs="Calibri" w:eastAsia="Calibri" w:hAnsi="Calibri"/>
          <w:color w:val="2B3736"/>
          <w:sz w:val="21"/>
          <w:szCs w:val="21"/>
        </w:rPr>
        <w:t xml:space="preserve">Open/Free (392) · Mixed (110) · Paid (41) · Free (Restricted) (31) · Free (Academic) (6) · Not specified (4).</w:t>
      </w:r>
    </w:p>
    <w:p>
      <w:pPr>
        <w:pStyle w:val="Heading3"/>
        <w:spacing w:after="80" w:before="180"/>
      </w:pPr>
      <w:r>
        <w:rPr>
          <w:rFonts w:ascii="Calibri" w:cs="Calibri" w:eastAsia="Calibri" w:hAnsi="Calibri"/>
          <w:b/>
          <w:bCs/>
          <w:color w:val="5E5349"/>
          <w:sz w:val="22"/>
          <w:szCs w:val="22"/>
        </w:rPr>
        <w:t xml:space="preserve">Licence Category</w:t>
      </w:r>
    </w:p>
    <w:p>
      <w:pPr>
        <w:spacing w:after="120" w:before="0" w:line="276"/>
      </w:pPr>
      <w:r>
        <w:rPr>
          <w:rFonts w:ascii="Calibri" w:cs="Calibri" w:eastAsia="Calibri" w:hAnsi="Calibri"/>
          <w:color w:val="2B3736"/>
          <w:sz w:val="21"/>
          <w:szCs w:val="21"/>
        </w:rPr>
        <w:t xml:space="preserve">GODL/NDSAP (208) · Unclassified (96) · State Government (86) · Institutional/Other (69) · Commercial (46) · Creative Commons (45) · Municipal (21) · ISRO/Space Policy (6) · ODbL (5) · Unverified (2).</w:t>
      </w:r>
    </w:p>
    <w:p>
      <w:pPr>
        <w:pStyle w:val="Heading3"/>
        <w:spacing w:after="80" w:before="180"/>
      </w:pPr>
      <w:r>
        <w:rPr>
          <w:rFonts w:ascii="Calibri" w:cs="Calibri" w:eastAsia="Calibri" w:hAnsi="Calibri"/>
          <w:b/>
          <w:bCs/>
          <w:color w:val="5E5349"/>
          <w:sz w:val="22"/>
          <w:szCs w:val="22"/>
        </w:rPr>
        <w:t xml:space="preserve">Confidence</w:t>
      </w:r>
    </w:p>
    <w:p>
      <w:pPr>
        <w:spacing w:after="120" w:before="0" w:line="276"/>
      </w:pPr>
      <w:r>
        <w:rPr>
          <w:rFonts w:ascii="Calibri" w:cs="Calibri" w:eastAsia="Calibri" w:hAnsi="Calibri"/>
          <w:color w:val="2B3736"/>
          <w:sz w:val="21"/>
          <w:szCs w:val="21"/>
        </w:rPr>
        <w:t xml:space="preserve">Portal / Representative (471) · Direct link / Verified (113).</w:t>
      </w:r>
    </w:p>
    <w:p>
      <w:pPr>
        <w:pStyle w:val="Heading3"/>
        <w:spacing w:after="80" w:before="180"/>
      </w:pPr>
      <w:r>
        <w:rPr>
          <w:rFonts w:ascii="Calibri" w:cs="Calibri" w:eastAsia="Calibri" w:hAnsi="Calibri"/>
          <w:b/>
          <w:bCs/>
          <w:color w:val="5E5349"/>
          <w:sz w:val="22"/>
          <w:szCs w:val="22"/>
        </w:rPr>
        <w:t xml:space="preserve">Link verification</w:t>
      </w:r>
    </w:p>
    <w:p>
      <w:pPr>
        <w:spacing w:after="120" w:before="0" w:line="276"/>
      </w:pPr>
      <w:r>
        <w:rPr>
          <w:rFonts w:ascii="Calibri" w:cs="Calibri" w:eastAsia="Calibri" w:hAnsi="Calibri"/>
          <w:color w:val="2B3736"/>
          <w:sz w:val="21"/>
          <w:szCs w:val="21"/>
        </w:rPr>
        <w:t xml:space="preserve">Live (348) · Search-verified (140) · Reachable (73) · Not checked (23).</w:t>
      </w:r>
    </w:p>
    <w:p>
      <w:pPr>
        <w:pStyle w:val="Heading3"/>
        <w:spacing w:after="80" w:before="180"/>
      </w:pPr>
      <w:r>
        <w:rPr>
          <w:rFonts w:ascii="Calibri" w:cs="Calibri" w:eastAsia="Calibri" w:hAnsi="Calibri"/>
          <w:b/>
          <w:bCs/>
          <w:color w:val="5E5349"/>
          <w:sz w:val="22"/>
          <w:szCs w:val="22"/>
        </w:rPr>
        <w:t xml:space="preserve">Assessment weights</w:t>
      </w:r>
    </w:p>
    <w:p>
      <w:pPr>
        <w:spacing w:after="120" w:before="0" w:line="276"/>
      </w:pPr>
      <w:r>
        <w:rPr>
          <w:rFonts w:ascii="Calibri" w:cs="Calibri" w:eastAsia="Calibri" w:hAnsi="Calibri"/>
          <w:color w:val="2B3736"/>
          <w:sz w:val="21"/>
          <w:szCs w:val="21"/>
        </w:rPr>
        <w:t xml:space="preserve">Download 25% · Open &amp; free access 20% · GIS-ready formats 15% · Data recency 15% · API &amp; web services 15% · Link reliability 10%.</w:t>
      </w:r>
    </w:p>
    <w:p>
      <w:pPr>
        <w:pStyle w:val="Heading1"/>
        <w:spacing w:after="140" w:before="320"/>
      </w:pPr>
      <w:r>
        <w:rPr>
          <w:rFonts w:ascii="Calibri" w:cs="Calibri" w:eastAsia="Calibri" w:hAnsi="Calibri"/>
          <w:b/>
          <w:bCs/>
          <w:color w:val="620D3C"/>
          <w:sz w:val="30"/>
          <w:szCs w:val="30"/>
        </w:rPr>
        <w:t xml:space="preserve">9. Glossary</w:t>
      </w:r>
    </w:p>
    <w:tbl>
      <w:tblPr>
        <w:tblW w:type="dxa" w:w="9360"/>
        <w:tblBorders>
          <w:top w:val="single" w:color="CFC4BC" w:sz="4"/>
          <w:left w:val="single" w:color="CFC4BC" w:sz="4"/>
          <w:bottom w:val="single" w:color="CFC4BC" w:sz="4"/>
          <w:right w:val="single" w:color="CFC4BC" w:sz="4"/>
          <w:insideH w:val="single" w:color="CFC4BC" w:sz="4"/>
          <w:insideV w:val="single" w:color="CFC4BC" w:sz="4"/>
        </w:tblBorders>
      </w:tblPr>
      <w:tblGrid>
        <w:gridCol w:w="2600"/>
        <w:gridCol w:w="6760"/>
      </w:tblGrid>
      <w:tr>
        <w:trPr>
          <w:tblHeader/>
        </w:trPr>
        <w:tc>
          <w:tcPr>
            <w:tcW w:type="dxa" w:w="260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Term</w:t>
            </w:r>
          </w:p>
        </w:tc>
        <w:tc>
          <w:tcPr>
            <w:tcW w:type="dxa" w:w="6760"/>
            <w:shd w:fill="620D3C" w:color="auto" w:val="clear"/>
            <w:tcMar>
              <w:top w:type="dxa" w:w="60"/>
              <w:left w:type="dxa" w:w="90"/>
              <w:bottom w:type="dxa" w:w="60"/>
              <w:right w:type="dxa" w:w="90"/>
            </w:tcMar>
          </w:tcPr>
          <w:p>
            <w:r>
              <w:rPr>
                <w:rFonts w:ascii="Calibri" w:cs="Calibri" w:eastAsia="Calibri" w:hAnsi="Calibri"/>
                <w:b/>
                <w:bCs/>
                <w:color w:val="FFFFFF"/>
                <w:sz w:val="19"/>
                <w:szCs w:val="19"/>
              </w:rPr>
              <w:t xml:space="preserve">Definition</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Discovery layer</w:t>
            </w:r>
          </w:p>
        </w:tc>
        <w:tc>
          <w:tcPr>
            <w:tcW w:type="dxa" w:w="6760"/>
            <w:tcMar>
              <w:top w:type="dxa" w:w="50"/>
              <w:left w:type="dxa" w:w="90"/>
              <w:bottom w:type="dxa" w:w="50"/>
              <w:right w:type="dxa" w:w="90"/>
            </w:tcMar>
          </w:tcPr>
          <w:p>
            <w:r>
              <w:rPr>
                <w:rFonts w:ascii="Calibri" w:cs="Calibri" w:eastAsia="Calibri" w:hAnsi="Calibri"/>
                <w:color w:val="2B3736"/>
                <w:sz w:val="19"/>
                <w:szCs w:val="19"/>
              </w:rPr>
              <w:t xml:space="preserve">A catalogue that points to data held elsewhere; it does not host or re-serve the data.</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Provider Type / Sector</w:t>
            </w:r>
          </w:p>
        </w:tc>
        <w:tc>
          <w:tcPr>
            <w:tcW w:type="dxa" w:w="6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Who runs the portal — one of four fixed values.</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Scope</w:t>
            </w:r>
          </w:p>
        </w:tc>
        <w:tc>
          <w:tcPr>
            <w:tcW w:type="dxa" w:w="6760"/>
            <w:tcMar>
              <w:top w:type="dxa" w:w="50"/>
              <w:left w:type="dxa" w:w="90"/>
              <w:bottom w:type="dxa" w:w="50"/>
              <w:right w:type="dxa" w:w="90"/>
            </w:tcMar>
          </w:tcPr>
          <w:p>
            <w:r>
              <w:rPr>
                <w:rFonts w:ascii="Calibri" w:cs="Calibri" w:eastAsia="Calibri" w:hAnsi="Calibri"/>
                <w:color w:val="2B3736"/>
                <w:sz w:val="19"/>
                <w:szCs w:val="19"/>
              </w:rPr>
              <w:t xml:space="preserve">India or Global; Global only for a confirmed India-specific deep link.</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Coverage Tier</w:t>
            </w:r>
          </w:p>
        </w:tc>
        <w:tc>
          <w:tcPr>
            <w:tcW w:type="dxa" w:w="6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Geographic granularity: National / State / UT / Multi-state-thematic / Regional-global.</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Theme</w:t>
            </w:r>
          </w:p>
        </w:tc>
        <w:tc>
          <w:tcPr>
            <w:tcW w:type="dxa" w:w="6760"/>
            <w:tcMar>
              <w:top w:type="dxa" w:w="50"/>
              <w:left w:type="dxa" w:w="90"/>
              <w:bottom w:type="dxa" w:w="50"/>
              <w:right w:type="dxa" w:w="90"/>
            </w:tcMar>
          </w:tcPr>
          <w:p>
            <w:r>
              <w:rPr>
                <w:rFonts w:ascii="Calibri" w:cs="Calibri" w:eastAsia="Calibri" w:hAnsi="Calibri"/>
                <w:color w:val="2B3736"/>
                <w:sz w:val="19"/>
                <w:szCs w:val="19"/>
              </w:rPr>
              <w:t xml:space="preserve">Fine-grained subject, close to the source’s wording (100+ values).</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Theme Group</w:t>
            </w:r>
          </w:p>
        </w:tc>
        <w:tc>
          <w:tcPr>
            <w:tcW w:type="dxa" w:w="6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One of 16 fixed roll-ups of Theme, used by the filters and map.</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Access Tier</w:t>
            </w:r>
          </w:p>
        </w:tc>
        <w:tc>
          <w:tcPr>
            <w:tcW w:type="dxa" w:w="6760"/>
            <w:tcMar>
              <w:top w:type="dxa" w:w="50"/>
              <w:left w:type="dxa" w:w="90"/>
              <w:bottom w:type="dxa" w:w="50"/>
              <w:right w:type="dxa" w:w="90"/>
            </w:tcMar>
          </w:tcPr>
          <w:p>
            <w:r>
              <w:rPr>
                <w:rFonts w:ascii="Calibri" w:cs="Calibri" w:eastAsia="Calibri" w:hAnsi="Calibri"/>
                <w:color w:val="2B3736"/>
                <w:sz w:val="19"/>
                <w:szCs w:val="19"/>
              </w:rPr>
              <w:t xml:space="preserve">The practical access gate — one of six fixed values.</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Licence Category</w:t>
            </w:r>
          </w:p>
        </w:tc>
        <w:tc>
          <w:tcPr>
            <w:tcW w:type="dxa" w:w="6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Legal terms, auto-classified from licence text by pattern rules.</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Direct link (Verified)</w:t>
            </w:r>
          </w:p>
        </w:tc>
        <w:tc>
          <w:tcPr>
            <w:tcW w:type="dxa" w:w="6760"/>
            <w:tcMar>
              <w:top w:type="dxa" w:w="50"/>
              <w:left w:type="dxa" w:w="90"/>
              <w:bottom w:type="dxa" w:w="50"/>
              <w:right w:type="dxa" w:w="90"/>
            </w:tcMar>
          </w:tcPr>
          <w:p>
            <w:r>
              <w:rPr>
                <w:rFonts w:ascii="Calibri" w:cs="Calibri" w:eastAsia="Calibri" w:hAnsi="Calibri"/>
                <w:color w:val="2B3736"/>
                <w:sz w:val="19"/>
                <w:szCs w:val="19"/>
              </w:rPr>
              <w:t xml:space="preserve">Confidence label: opens the specific dataset; human-confirmed this session.</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Portal (Representative)</w:t>
            </w:r>
          </w:p>
        </w:tc>
        <w:tc>
          <w:tcPr>
            <w:tcW w:type="dxa" w:w="6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Confidence label: opens the agency site; the default expected state.</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Link specificity</w:t>
            </w:r>
          </w:p>
        </w:tc>
        <w:tc>
          <w:tcPr>
            <w:tcW w:type="dxa" w:w="6760"/>
            <w:tcMar>
              <w:top w:type="dxa" w:w="50"/>
              <w:left w:type="dxa" w:w="90"/>
              <w:bottom w:type="dxa" w:w="50"/>
              <w:right w:type="dxa" w:w="90"/>
            </w:tcMar>
          </w:tcPr>
          <w:p>
            <w:r>
              <w:rPr>
                <w:rFonts w:ascii="Calibri" w:cs="Calibri" w:eastAsia="Calibri" w:hAnsi="Calibri"/>
                <w:color w:val="2B3736"/>
                <w:sz w:val="19"/>
                <w:szCs w:val="19"/>
              </w:rPr>
              <w:t xml:space="preserve">dataset / section / portal, derived from the URL.</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Link verification</w:t>
            </w:r>
          </w:p>
        </w:tc>
        <w:tc>
          <w:tcPr>
            <w:tcW w:type="dxa" w:w="6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Live / Reachable / Search-verified / Not checked.</w:t>
            </w:r>
          </w:p>
        </w:tc>
      </w:tr>
      <w:tr>
        <w:tc>
          <w:tcPr>
            <w:tcW w:type="dxa" w:w="2600"/>
            <w:tcMar>
              <w:top w:type="dxa" w:w="50"/>
              <w:left w:type="dxa" w:w="90"/>
              <w:bottom w:type="dxa" w:w="50"/>
              <w:right w:type="dxa" w:w="90"/>
            </w:tcMar>
          </w:tcPr>
          <w:p>
            <w:r>
              <w:rPr>
                <w:rFonts w:ascii="Calibri" w:cs="Calibri" w:eastAsia="Calibri" w:hAnsi="Calibri"/>
                <w:color w:val="2B3736"/>
                <w:sz w:val="19"/>
                <w:szCs w:val="19"/>
              </w:rPr>
              <w:t xml:space="preserve">Not specified / Unclassified</w:t>
            </w:r>
          </w:p>
        </w:tc>
        <w:tc>
          <w:tcPr>
            <w:tcW w:type="dxa" w:w="6760"/>
            <w:tcMar>
              <w:top w:type="dxa" w:w="50"/>
              <w:left w:type="dxa" w:w="90"/>
              <w:bottom w:type="dxa" w:w="50"/>
              <w:right w:type="dxa" w:w="90"/>
            </w:tcMar>
          </w:tcPr>
          <w:p>
            <w:r>
              <w:rPr>
                <w:rFonts w:ascii="Calibri" w:cs="Calibri" w:eastAsia="Calibri" w:hAnsi="Calibri"/>
                <w:color w:val="2B3736"/>
                <w:sz w:val="19"/>
                <w:szCs w:val="19"/>
              </w:rPr>
              <w:t xml:space="preserve">An honest “unknown”, used instead of a guess.</w:t>
            </w:r>
          </w:p>
        </w:tc>
      </w:tr>
      <w:tr>
        <w:tc>
          <w:tcPr>
            <w:tcW w:type="dxa" w:w="260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Provisional (Unverified, assumed Active)</w:t>
            </w:r>
          </w:p>
        </w:tc>
        <w:tc>
          <w:tcPr>
            <w:tcW w:type="dxa" w:w="6760"/>
            <w:shd w:fill="F5F0EC" w:color="auto" w:val="clear"/>
            <w:tcMar>
              <w:top w:type="dxa" w:w="50"/>
              <w:left w:type="dxa" w:w="90"/>
              <w:bottom w:type="dxa" w:w="50"/>
              <w:right w:type="dxa" w:w="90"/>
            </w:tcMar>
          </w:tcPr>
          <w:p>
            <w:r>
              <w:rPr>
                <w:rFonts w:ascii="Calibri" w:cs="Calibri" w:eastAsia="Calibri" w:hAnsi="Calibri"/>
                <w:color w:val="2B3736"/>
                <w:sz w:val="19"/>
                <w:szCs w:val="19"/>
              </w:rPr>
              <w:t xml:space="preserve">A catalogued lead whose fields are pending confirmation; never Verified.</w:t>
            </w:r>
          </w:p>
        </w:tc>
      </w:tr>
    </w:tbl>
    <w:p>
      <w:pPr>
        <w:spacing w:after="120" w:before="200" w:line="276"/>
      </w:pPr>
      <w:r>
        <w:rPr>
          <w:rFonts w:ascii="Calibri" w:cs="Calibri" w:eastAsia="Calibri" w:hAnsi="Calibri"/>
          <w:i/>
          <w:iCs/>
          <w:color w:val="5E5349"/>
          <w:sz w:val="21"/>
          <w:szCs w:val="21"/>
        </w:rPr>
        <w:t xml:space="preserve">This reference is generated from the India Geoportal Catalog dashboard’s own definitions and data. Figures are a snapshot of 584 records and will change as the catalogue is maintained; the definitions and rules are stable.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E5349"/>
        <w:sz w:val="16"/>
        <w:szCs w:val="16"/>
      </w:rPr>
      <w:t xml:space="preserve">Page </w:t>
    </w:r>
    <w:r>
      <w:rPr>
        <w:rFonts w:ascii="Calibri" w:cs="Calibri" w:eastAsia="Calibri" w:hAnsi="Calibri"/>
        <w:color w:val="5E5349"/>
        <w:sz w:val="16"/>
        <w:szCs w:val="16"/>
      </w:rPr>
      <w:fldChar w:fldCharType="begin"/>
      <w:instrText xml:space="preserve">PAGE</w:instrText>
      <w:fldChar w:fldCharType="separate"/>
      <w:fldChar w:fldCharType="end"/>
    </w:r>
    <w:r>
      <w:rPr>
        <w:rFonts w:ascii="Calibri" w:cs="Calibri" w:eastAsia="Calibri" w:hAnsi="Calibri"/>
        <w:color w:val="5E5349"/>
        <w:sz w:val="16"/>
        <w:szCs w:val="16"/>
      </w:rPr>
      <w:t xml:space="preserve"> · Compiled from the dashboard’s own definitions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FC4BC" w:sz="4" w:space="4"/>
      </w:pBdr>
      <w:jc w:val="right"/>
    </w:pPr>
    <w:r>
      <w:rPr>
        <w:rFonts w:ascii="Calibri" w:cs="Calibri" w:eastAsia="Calibri" w:hAnsi="Calibri"/>
        <w:color w:val="5E5349"/>
        <w:sz w:val="16"/>
        <w:szCs w:val="16"/>
      </w:rPr>
      <w:t xml:space="preserve">India Geoportal Catalog — Category &amp; Classification Reference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620D3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373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 Geoportal Catalog — Category &amp; Classification Reference</dc:title>
  <dc:creator>India Geoportal Catalog</dc:creator>
  <dc:description>Category and classification reference compiled from the India Geoportal Catalog dashboard.</dc:description>
  <cp:lastModifiedBy>Un-named</cp:lastModifiedBy>
  <cp:revision>1</cp:revision>
  <dcterms:created xsi:type="dcterms:W3CDTF">2026-08-11T04:36:43.952Z</dcterms:created>
  <dcterms:modified xsi:type="dcterms:W3CDTF">2026-08-11T04:36:43.952Z</dcterms:modified>
</cp:coreProperties>
</file>

<file path=docProps/custom.xml><?xml version="1.0" encoding="utf-8"?>
<Properties xmlns="http://schemas.openxmlformats.org/officeDocument/2006/custom-properties" xmlns:vt="http://schemas.openxmlformats.org/officeDocument/2006/docPropsVTypes"/>
</file>